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C3C76" w14:textId="4A83622B" w:rsidR="00F26CDF" w:rsidRPr="00D0667E" w:rsidRDefault="00F26CDF" w:rsidP="00F26CDF">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w:t>
      </w:r>
      <w:r w:rsidR="00FF16DE">
        <w:rPr>
          <w:rFonts w:ascii="Calibri" w:eastAsia="新細明體" w:hAnsi="Calibri" w:cs="Calibri"/>
          <w:noProof w:val="0"/>
          <w:sz w:val="24"/>
          <w:szCs w:val="24"/>
          <w:lang w:eastAsia="ja-JP"/>
        </w:rPr>
        <w:t>4</w:t>
      </w:r>
      <w:r>
        <w:rPr>
          <w:rFonts w:ascii="Calibri" w:eastAsia="新細明體" w:hAnsi="Calibri" w:cs="Calibri"/>
          <w:noProof w:val="0"/>
          <w:sz w:val="24"/>
          <w:szCs w:val="24"/>
          <w:lang w:eastAsia="ja-JP"/>
        </w:rPr>
        <w:t>-e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Pr>
          <w:rFonts w:ascii="Calibri" w:eastAsia="新細明體" w:hAnsi="Calibri" w:cs="Calibri"/>
          <w:noProof w:val="0"/>
          <w:sz w:val="24"/>
          <w:szCs w:val="24"/>
          <w:lang w:eastAsia="ja-JP"/>
        </w:rPr>
        <w:t xml:space="preserve">  </w:t>
      </w:r>
      <w:r w:rsidRPr="00EA62F4">
        <w:rPr>
          <w:rFonts w:ascii="Calibri" w:eastAsia="新細明體" w:hAnsi="Calibri" w:cs="Calibri"/>
          <w:noProof w:val="0"/>
          <w:sz w:val="24"/>
          <w:szCs w:val="24"/>
          <w:lang w:eastAsia="ja-JP"/>
        </w:rPr>
        <w:t>R4-</w:t>
      </w:r>
      <w:r>
        <w:rPr>
          <w:rFonts w:ascii="Calibri" w:eastAsia="新細明體" w:hAnsi="Calibri" w:cs="Calibri"/>
          <w:noProof w:val="0"/>
          <w:sz w:val="24"/>
          <w:szCs w:val="24"/>
          <w:lang w:eastAsia="ja-JP"/>
        </w:rPr>
        <w:t>22</w:t>
      </w:r>
      <w:r w:rsidR="00FF16DE">
        <w:rPr>
          <w:rFonts w:ascii="Calibri" w:eastAsia="新細明體" w:hAnsi="Calibri" w:cs="Calibri"/>
          <w:noProof w:val="0"/>
          <w:sz w:val="24"/>
          <w:szCs w:val="24"/>
          <w:lang w:eastAsia="ja-JP"/>
        </w:rPr>
        <w:t>12080</w:t>
      </w:r>
    </w:p>
    <w:p w14:paraId="0FC81E50" w14:textId="03F7D7B2" w:rsidR="00F26CDF" w:rsidRPr="00D0667E" w:rsidRDefault="00F26CDF" w:rsidP="00F26CDF">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sidR="00FF16DE">
        <w:rPr>
          <w:rFonts w:ascii="Calibri" w:eastAsia="新細明體" w:hAnsi="Calibri" w:cs="Calibri"/>
          <w:b/>
          <w:sz w:val="24"/>
          <w:szCs w:val="24"/>
        </w:rPr>
        <w:t>Aug</w:t>
      </w:r>
      <w:r>
        <w:rPr>
          <w:rFonts w:ascii="Calibri" w:eastAsia="新細明體" w:hAnsi="Calibri" w:cs="Calibri"/>
          <w:b/>
          <w:sz w:val="24"/>
          <w:szCs w:val="24"/>
        </w:rPr>
        <w:t xml:space="preserve"> </w:t>
      </w:r>
      <w:r w:rsidR="00FF16DE">
        <w:rPr>
          <w:rFonts w:ascii="Calibri" w:eastAsia="新細明體" w:hAnsi="Calibri" w:cs="Calibri"/>
          <w:b/>
          <w:sz w:val="24"/>
          <w:szCs w:val="24"/>
        </w:rPr>
        <w:t>15</w:t>
      </w:r>
      <w:r>
        <w:rPr>
          <w:rFonts w:ascii="Calibri" w:eastAsia="新細明體" w:hAnsi="Calibri" w:cs="Calibri"/>
          <w:b/>
          <w:sz w:val="24"/>
          <w:szCs w:val="24"/>
        </w:rPr>
        <w:t xml:space="preserve"> – </w:t>
      </w:r>
      <w:r w:rsidR="00FF16DE">
        <w:rPr>
          <w:rFonts w:ascii="Calibri" w:eastAsia="新細明體" w:hAnsi="Calibri" w:cs="Calibri"/>
          <w:b/>
          <w:sz w:val="24"/>
          <w:szCs w:val="24"/>
        </w:rPr>
        <w:t>Aug</w:t>
      </w:r>
      <w:r>
        <w:rPr>
          <w:rFonts w:ascii="Calibri" w:eastAsia="新細明體" w:hAnsi="Calibri" w:cs="Calibri"/>
          <w:b/>
          <w:sz w:val="24"/>
          <w:szCs w:val="24"/>
        </w:rPr>
        <w:t xml:space="preserve"> </w:t>
      </w:r>
      <w:r w:rsidR="00FF16DE">
        <w:rPr>
          <w:rFonts w:ascii="Calibri" w:eastAsia="新細明體" w:hAnsi="Calibri" w:cs="Calibri"/>
          <w:b/>
          <w:sz w:val="24"/>
          <w:szCs w:val="24"/>
        </w:rPr>
        <w:t>26</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0B3F9352" w14:textId="22941334" w:rsidR="00F26CDF" w:rsidRPr="00D0667E" w:rsidRDefault="00F26CDF" w:rsidP="00F26CDF">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Pr>
          <w:rFonts w:ascii="Calibri" w:eastAsia="SimSun" w:hAnsi="Calibri" w:cs="Calibri"/>
          <w:b/>
          <w:bCs/>
          <w:sz w:val="24"/>
          <w:szCs w:val="24"/>
          <w:lang w:eastAsia="en-US"/>
        </w:rPr>
        <w:t>9</w:t>
      </w:r>
      <w:r w:rsidRPr="008F5A69">
        <w:rPr>
          <w:rFonts w:ascii="Calibri" w:eastAsia="SimSun" w:hAnsi="Calibri" w:cs="Calibri"/>
          <w:b/>
          <w:bCs/>
          <w:sz w:val="24"/>
          <w:szCs w:val="24"/>
          <w:lang w:eastAsia="en-US"/>
        </w:rPr>
        <w:t>.</w:t>
      </w:r>
      <w:r w:rsidR="00E35CC7">
        <w:rPr>
          <w:rFonts w:ascii="Calibri" w:eastAsia="SimSun" w:hAnsi="Calibri" w:cs="Calibri"/>
          <w:b/>
          <w:bCs/>
          <w:sz w:val="24"/>
          <w:szCs w:val="24"/>
          <w:lang w:eastAsia="en-US"/>
        </w:rPr>
        <w:t>9</w:t>
      </w:r>
      <w:r w:rsidRPr="008F5A69">
        <w:rPr>
          <w:rFonts w:ascii="Calibri" w:eastAsia="SimSun" w:hAnsi="Calibri" w:cs="Calibri"/>
          <w:b/>
          <w:bCs/>
          <w:sz w:val="24"/>
          <w:szCs w:val="24"/>
          <w:lang w:eastAsia="en-US"/>
        </w:rPr>
        <w:t>.</w:t>
      </w:r>
      <w:r w:rsidR="00BF7864">
        <w:rPr>
          <w:rFonts w:ascii="Calibri" w:eastAsia="SimSun" w:hAnsi="Calibri" w:cs="Calibri"/>
          <w:b/>
          <w:bCs/>
          <w:sz w:val="24"/>
          <w:szCs w:val="24"/>
          <w:lang w:eastAsia="en-US"/>
        </w:rPr>
        <w:t>1</w:t>
      </w:r>
      <w:r w:rsidRPr="008F5A69">
        <w:rPr>
          <w:rFonts w:ascii="Calibri" w:eastAsia="SimSun" w:hAnsi="Calibri" w:cs="Calibri"/>
          <w:b/>
          <w:bCs/>
          <w:sz w:val="24"/>
          <w:szCs w:val="24"/>
          <w:lang w:eastAsia="en-US"/>
        </w:rPr>
        <w:t>.</w:t>
      </w:r>
      <w:r>
        <w:rPr>
          <w:rFonts w:ascii="Calibri" w:eastAsia="SimSun" w:hAnsi="Calibri" w:cs="Calibri"/>
          <w:b/>
          <w:bCs/>
          <w:sz w:val="24"/>
          <w:szCs w:val="24"/>
          <w:lang w:eastAsia="en-US"/>
        </w:rPr>
        <w:t>3</w:t>
      </w:r>
    </w:p>
    <w:p w14:paraId="507FD66B" w14:textId="5A0A77C6"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5351B829" w14:textId="708E9514"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7F0641" w:rsidRPr="007F0641">
        <w:rPr>
          <w:rFonts w:asciiTheme="minorHAnsi" w:eastAsia="SimSun" w:hAnsiTheme="minorHAnsi" w:cs="Arial"/>
          <w:b/>
          <w:bCs/>
          <w:sz w:val="24"/>
          <w:szCs w:val="24"/>
          <w:lang w:eastAsia="en-US"/>
        </w:rPr>
        <w:t xml:space="preserve">Discussion on </w:t>
      </w:r>
      <w:r w:rsidR="00F26CDF" w:rsidRPr="00E06F16">
        <w:rPr>
          <w:rFonts w:ascii="Calibri" w:eastAsia="SimSun" w:hAnsi="Calibri" w:cs="Calibri"/>
          <w:b/>
          <w:bCs/>
          <w:sz w:val="24"/>
          <w:szCs w:val="24"/>
          <w:lang w:eastAsia="en-US"/>
        </w:rPr>
        <w:t>remaining issues of</w:t>
      </w:r>
      <w:r w:rsidR="00F26CDF">
        <w:rPr>
          <w:rFonts w:ascii="Calibri" w:eastAsia="SimSun" w:hAnsi="Calibri" w:cs="Calibri"/>
          <w:b/>
          <w:bCs/>
          <w:sz w:val="24"/>
          <w:szCs w:val="24"/>
          <w:lang w:eastAsia="en-US"/>
        </w:rPr>
        <w:t xml:space="preserve"> </w:t>
      </w:r>
      <w:r w:rsidR="007F0641" w:rsidRPr="007F0641">
        <w:rPr>
          <w:rFonts w:asciiTheme="minorHAnsi" w:eastAsia="SimSun" w:hAnsiTheme="minorHAnsi" w:cs="Arial"/>
          <w:b/>
          <w:bCs/>
          <w:sz w:val="24"/>
          <w:szCs w:val="24"/>
          <w:lang w:eastAsia="en-US"/>
        </w:rPr>
        <w:t>NCSG</w:t>
      </w:r>
    </w:p>
    <w:p w14:paraId="0112EF50" w14:textId="77777777"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14:paraId="4E73918D" w14:textId="77777777"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14:paraId="112D0538" w14:textId="5DA99486" w:rsidR="007C6716" w:rsidRDefault="007C6716" w:rsidP="000A14B7">
      <w:pPr>
        <w:jc w:val="both"/>
        <w:rPr>
          <w:rFonts w:asciiTheme="minorHAnsi" w:hAnsiTheme="minorHAnsi"/>
          <w:lang w:eastAsia="zh-TW"/>
        </w:rPr>
      </w:pPr>
      <w:bookmarkStart w:id="6" w:name="_Ref516345544"/>
      <w:r>
        <w:rPr>
          <w:rFonts w:asciiTheme="minorHAnsi" w:hAnsiTheme="minorHAnsi"/>
          <w:lang w:eastAsia="zh-TW"/>
        </w:rPr>
        <w:t xml:space="preserve">In this paper, we discuss </w:t>
      </w:r>
      <w:r w:rsidR="00DD1881">
        <w:rPr>
          <w:rFonts w:asciiTheme="minorHAnsi" w:hAnsiTheme="minorHAnsi"/>
          <w:lang w:eastAsia="zh-TW"/>
        </w:rPr>
        <w:t>2</w:t>
      </w:r>
      <w:r>
        <w:rPr>
          <w:rFonts w:asciiTheme="minorHAnsi" w:hAnsiTheme="minorHAnsi"/>
          <w:lang w:eastAsia="zh-TW"/>
        </w:rPr>
        <w:t xml:space="preserve"> remaining issue</w:t>
      </w:r>
      <w:r w:rsidR="00DD1881">
        <w:rPr>
          <w:rFonts w:asciiTheme="minorHAnsi" w:hAnsiTheme="minorHAnsi"/>
          <w:lang w:eastAsia="zh-TW"/>
        </w:rPr>
        <w:t>s</w:t>
      </w:r>
      <w:r>
        <w:rPr>
          <w:rFonts w:asciiTheme="minorHAnsi" w:hAnsiTheme="minorHAnsi"/>
          <w:lang w:eastAsia="zh-TW"/>
        </w:rPr>
        <w:t xml:space="preserve"> on NCSG</w:t>
      </w:r>
      <w:r w:rsidRPr="007C6716">
        <w:rPr>
          <w:rFonts w:asciiTheme="minorHAnsi" w:hAnsiTheme="minorHAnsi"/>
          <w:lang w:eastAsia="zh-TW"/>
        </w:rPr>
        <w:t xml:space="preserve">, i.e., </w:t>
      </w:r>
    </w:p>
    <w:p w14:paraId="121A8A4C" w14:textId="682EB83D" w:rsidR="00157854" w:rsidRPr="007C6716" w:rsidRDefault="00821BC1" w:rsidP="007C6716">
      <w:pPr>
        <w:pStyle w:val="ListParagraph"/>
        <w:numPr>
          <w:ilvl w:val="0"/>
          <w:numId w:val="19"/>
        </w:numPr>
        <w:jc w:val="both"/>
        <w:rPr>
          <w:rFonts w:eastAsia="新細明體"/>
          <w:lang w:eastAsia="zh-TW"/>
        </w:rPr>
      </w:pPr>
      <w:r>
        <w:rPr>
          <w:rFonts w:asciiTheme="minorHAnsi" w:hAnsiTheme="minorHAnsi"/>
          <w:lang w:eastAsia="zh-TW"/>
        </w:rPr>
        <w:t>H</w:t>
      </w:r>
      <w:r w:rsidR="007C6716" w:rsidRPr="007C6716">
        <w:rPr>
          <w:rFonts w:asciiTheme="minorHAnsi" w:hAnsiTheme="minorHAnsi"/>
          <w:lang w:eastAsia="zh-TW"/>
        </w:rPr>
        <w:t>ow to handle the scheduling restriction on serving cells when measuring an inter-frequency layer with a different numerology via NCSG.</w:t>
      </w:r>
    </w:p>
    <w:p w14:paraId="4D685279" w14:textId="6EB22338" w:rsidR="007C6716" w:rsidRPr="007C6716" w:rsidRDefault="007C6716" w:rsidP="007C6716">
      <w:pPr>
        <w:pStyle w:val="ListParagraph"/>
        <w:numPr>
          <w:ilvl w:val="0"/>
          <w:numId w:val="19"/>
        </w:numPr>
        <w:jc w:val="both"/>
        <w:rPr>
          <w:rFonts w:eastAsia="新細明體"/>
          <w:lang w:eastAsia="zh-TW"/>
        </w:rPr>
      </w:pPr>
      <w:r>
        <w:rPr>
          <w:rFonts w:asciiTheme="minorHAnsi" w:eastAsia="新細明體" w:hAnsiTheme="minorHAnsi" w:hint="eastAsia"/>
          <w:lang w:eastAsia="zh-TW"/>
        </w:rPr>
        <w:t>W</w:t>
      </w:r>
      <w:r>
        <w:rPr>
          <w:rFonts w:asciiTheme="minorHAnsi" w:eastAsia="新細明體" w:hAnsiTheme="minorHAnsi"/>
          <w:lang w:eastAsia="zh-TW"/>
        </w:rPr>
        <w:t>hether to handle L1 measurements for the case of int</w:t>
      </w:r>
      <w:r w:rsidR="00A54B85">
        <w:rPr>
          <w:rFonts w:asciiTheme="minorHAnsi" w:eastAsia="新細明體" w:hAnsiTheme="minorHAnsi"/>
          <w:lang w:eastAsia="zh-TW"/>
        </w:rPr>
        <w:t>ra-frequency SSB which is not completely within UE’s active BWP.</w:t>
      </w:r>
    </w:p>
    <w:p w14:paraId="3B646F08" w14:textId="42F508C9" w:rsidR="003B3DBB" w:rsidRPr="007C6716" w:rsidRDefault="00A54B85" w:rsidP="003B3DBB">
      <w:pPr>
        <w:pStyle w:val="Heading1"/>
        <w:numPr>
          <w:ilvl w:val="0"/>
          <w:numId w:val="1"/>
        </w:numPr>
        <w:ind w:hanging="720"/>
        <w:rPr>
          <w:rFonts w:asciiTheme="minorHAnsi" w:eastAsiaTheme="minorEastAsia" w:hAnsiTheme="minorHAnsi" w:cstheme="minorBidi"/>
          <w:b/>
          <w:sz w:val="22"/>
          <w:szCs w:val="22"/>
          <w:lang w:val="en-US" w:eastAsia="zh-TW"/>
        </w:rPr>
      </w:pPr>
      <w:r>
        <w:rPr>
          <w:rFonts w:asciiTheme="minorHAnsi" w:eastAsiaTheme="minorEastAsia" w:hAnsiTheme="minorHAnsi" w:cstheme="minorBidi"/>
          <w:b/>
          <w:sz w:val="22"/>
          <w:szCs w:val="22"/>
          <w:lang w:val="en-US" w:eastAsia="zh-TW"/>
        </w:rPr>
        <w:t>S</w:t>
      </w:r>
      <w:r w:rsidRPr="00A54B85">
        <w:rPr>
          <w:rFonts w:asciiTheme="minorHAnsi" w:eastAsiaTheme="minorEastAsia" w:hAnsiTheme="minorHAnsi" w:cstheme="minorBidi"/>
          <w:b/>
          <w:sz w:val="22"/>
          <w:szCs w:val="22"/>
          <w:lang w:val="en-US" w:eastAsia="zh-TW"/>
        </w:rPr>
        <w:t>cheduling restriction</w:t>
      </w:r>
      <w:r>
        <w:rPr>
          <w:rFonts w:asciiTheme="minorHAnsi" w:eastAsiaTheme="minorEastAsia" w:hAnsiTheme="minorHAnsi" w:cstheme="minorBidi"/>
          <w:b/>
          <w:sz w:val="22"/>
          <w:szCs w:val="22"/>
          <w:lang w:val="en-US" w:eastAsia="zh-TW"/>
        </w:rPr>
        <w:t xml:space="preserve"> for inter-</w:t>
      </w:r>
      <w:proofErr w:type="spellStart"/>
      <w:r>
        <w:rPr>
          <w:rFonts w:asciiTheme="minorHAnsi" w:eastAsiaTheme="minorEastAsia" w:hAnsiTheme="minorHAnsi" w:cstheme="minorBidi"/>
          <w:b/>
          <w:sz w:val="22"/>
          <w:szCs w:val="22"/>
          <w:lang w:val="en-US" w:eastAsia="zh-TW"/>
        </w:rPr>
        <w:t>freq</w:t>
      </w:r>
      <w:proofErr w:type="spellEnd"/>
      <w:r>
        <w:rPr>
          <w:rFonts w:asciiTheme="minorHAnsi" w:eastAsiaTheme="minorEastAsia" w:hAnsiTheme="minorHAnsi" w:cstheme="minorBidi"/>
          <w:b/>
          <w:sz w:val="22"/>
          <w:szCs w:val="22"/>
          <w:lang w:val="en-US" w:eastAsia="zh-TW"/>
        </w:rPr>
        <w:t xml:space="preserve"> measurement via NCSG</w:t>
      </w:r>
    </w:p>
    <w:p w14:paraId="36585369" w14:textId="5AB1584B" w:rsidR="00E758FE" w:rsidRDefault="007C6716" w:rsidP="00762D00">
      <w:pPr>
        <w:jc w:val="both"/>
        <w:rPr>
          <w:rFonts w:asciiTheme="minorHAnsi" w:eastAsia="新細明體" w:hAnsiTheme="minorHAnsi" w:cstheme="minorHAnsi"/>
          <w:iCs/>
          <w:lang w:val="en-US" w:eastAsia="zh-TW"/>
        </w:rPr>
      </w:pPr>
      <w:bookmarkStart w:id="7" w:name="_Ref54117246"/>
      <w:r>
        <w:rPr>
          <w:rFonts w:asciiTheme="minorHAnsi" w:eastAsia="新細明體" w:hAnsiTheme="minorHAnsi" w:cstheme="minorHAnsi"/>
          <w:iCs/>
          <w:lang w:val="en-US" w:eastAsia="zh-TW"/>
        </w:rPr>
        <w:t>The issue was raised in [1]. The current text in Section 9.3.10.3.2 is captured as follows:</w:t>
      </w:r>
    </w:p>
    <w:tbl>
      <w:tblPr>
        <w:tblStyle w:val="TableGrid"/>
        <w:tblW w:w="0" w:type="auto"/>
        <w:tblLook w:val="04A0" w:firstRow="1" w:lastRow="0" w:firstColumn="1" w:lastColumn="0" w:noHBand="0" w:noVBand="1"/>
      </w:tblPr>
      <w:tblGrid>
        <w:gridCol w:w="9629"/>
      </w:tblGrid>
      <w:tr w:rsidR="007C6716" w14:paraId="74B4ED1E" w14:textId="77777777" w:rsidTr="007C6716">
        <w:tc>
          <w:tcPr>
            <w:tcW w:w="9629" w:type="dxa"/>
          </w:tcPr>
          <w:p w14:paraId="7473B915" w14:textId="77777777" w:rsidR="007C6716" w:rsidRPr="007C6716" w:rsidRDefault="007C6716" w:rsidP="007C6716">
            <w:pPr>
              <w:keepNext/>
              <w:keepLines/>
              <w:spacing w:before="120"/>
              <w:ind w:left="1701" w:hanging="1701"/>
              <w:outlineLvl w:val="4"/>
              <w:rPr>
                <w:rFonts w:ascii="Arial" w:hAnsi="Arial"/>
                <w:szCs w:val="18"/>
                <w:lang w:eastAsia="en-GB"/>
              </w:rPr>
            </w:pPr>
            <w:r w:rsidRPr="007C6716">
              <w:rPr>
                <w:rFonts w:ascii="Arial" w:hAnsi="Arial"/>
                <w:szCs w:val="18"/>
                <w:lang w:eastAsia="en-GB"/>
              </w:rPr>
              <w:t>9.3.</w:t>
            </w:r>
            <w:r w:rsidRPr="007C6716">
              <w:rPr>
                <w:rFonts w:ascii="Arial" w:hAnsi="Arial"/>
                <w:szCs w:val="18"/>
                <w:lang w:eastAsia="zh-CN"/>
              </w:rPr>
              <w:t>10</w:t>
            </w:r>
            <w:r w:rsidRPr="007C6716">
              <w:rPr>
                <w:rFonts w:ascii="Arial" w:hAnsi="Arial"/>
                <w:szCs w:val="18"/>
                <w:lang w:eastAsia="en-GB"/>
              </w:rPr>
              <w:t>.3.2</w:t>
            </w:r>
            <w:r w:rsidRPr="007C6716">
              <w:rPr>
                <w:rFonts w:ascii="Arial" w:hAnsi="Arial"/>
                <w:szCs w:val="18"/>
                <w:lang w:eastAsia="en-GB"/>
              </w:rPr>
              <w:tab/>
              <w:t>Scheduling availability of UE performing measurements with a different subcarrier spacing than PDSCH/PDCCH on FR1</w:t>
            </w:r>
          </w:p>
          <w:p w14:paraId="16904BD9" w14:textId="77777777" w:rsidR="007C6716" w:rsidRPr="007C6716" w:rsidRDefault="007C6716" w:rsidP="007C6716">
            <w:pPr>
              <w:overflowPunct/>
              <w:autoSpaceDE/>
              <w:autoSpaceDN/>
              <w:adjustRightInd/>
              <w:textAlignment w:val="auto"/>
              <w:rPr>
                <w:rFonts w:eastAsia="SimSun"/>
                <w:sz w:val="18"/>
                <w:szCs w:val="18"/>
                <w:lang w:eastAsia="en-US"/>
              </w:rPr>
            </w:pPr>
            <w:r w:rsidRPr="007C6716">
              <w:rPr>
                <w:rFonts w:eastAsia="SimSun"/>
                <w:sz w:val="18"/>
                <w:szCs w:val="18"/>
                <w:lang w:eastAsia="en-US"/>
              </w:rPr>
              <w:t xml:space="preserve">For UE which do not support </w:t>
            </w:r>
            <w:r w:rsidRPr="007C6716">
              <w:rPr>
                <w:rFonts w:eastAsia="SimSun"/>
                <w:sz w:val="18"/>
                <w:szCs w:val="18"/>
                <w:highlight w:val="yellow"/>
                <w:lang w:eastAsia="en-US"/>
              </w:rPr>
              <w:t>[</w:t>
            </w:r>
            <w:proofErr w:type="spellStart"/>
            <w:r w:rsidRPr="007C6716">
              <w:rPr>
                <w:rFonts w:eastAsia="SimSun"/>
                <w:i/>
                <w:sz w:val="18"/>
                <w:szCs w:val="18"/>
                <w:highlight w:val="yellow"/>
                <w:lang w:eastAsia="en-US"/>
              </w:rPr>
              <w:t>simultaneousRxDataSSB-DiffNumerology</w:t>
            </w:r>
            <w:proofErr w:type="spellEnd"/>
            <w:r w:rsidRPr="007C6716">
              <w:rPr>
                <w:rFonts w:eastAsia="SimSun"/>
                <w:sz w:val="18"/>
                <w:szCs w:val="18"/>
                <w:highlight w:val="yellow"/>
                <w:lang w:eastAsia="en-US"/>
              </w:rPr>
              <w:t>]</w:t>
            </w:r>
            <w:r w:rsidRPr="007C6716">
              <w:rPr>
                <w:rFonts w:eastAsia="SimSun"/>
                <w:i/>
                <w:sz w:val="18"/>
                <w:szCs w:val="18"/>
                <w:lang w:eastAsia="en-US"/>
              </w:rPr>
              <w:t xml:space="preserve"> </w:t>
            </w:r>
            <w:r w:rsidRPr="007C6716">
              <w:rPr>
                <w:rFonts w:eastAsia="SimSun"/>
                <w:sz w:val="18"/>
                <w:szCs w:val="18"/>
                <w:lang w:eastAsia="en-US"/>
              </w:rPr>
              <w:t>[14] the following restrictions apply due to SS-RSRP/RSRQ/SINR measurement</w:t>
            </w:r>
          </w:p>
          <w:p w14:paraId="38BA9488" w14:textId="77777777" w:rsidR="007C6716" w:rsidRPr="007C6716" w:rsidRDefault="007C6716" w:rsidP="007C6716">
            <w:pPr>
              <w:ind w:left="568" w:hanging="284"/>
              <w:rPr>
                <w:sz w:val="18"/>
                <w:szCs w:val="18"/>
                <w:lang w:val="en-US" w:eastAsia="en-GB"/>
              </w:rPr>
            </w:pPr>
            <w:r w:rsidRPr="007C6716">
              <w:rPr>
                <w:sz w:val="18"/>
                <w:szCs w:val="18"/>
                <w:lang w:val="en-US" w:eastAsia="en-GB"/>
              </w:rPr>
              <w:t>-</w:t>
            </w:r>
            <w:r w:rsidRPr="007C6716">
              <w:rPr>
                <w:sz w:val="18"/>
                <w:szCs w:val="18"/>
                <w:lang w:val="en-US" w:eastAsia="en-GB"/>
              </w:rPr>
              <w:tab/>
              <w:t>The UE is not expected to receive PDCCH/PDSCH</w:t>
            </w:r>
            <w:r w:rsidRPr="007C6716">
              <w:rPr>
                <w:sz w:val="18"/>
                <w:szCs w:val="18"/>
                <w:lang w:val="en-US" w:eastAsia="zh-CN"/>
              </w:rPr>
              <w:t>/TRS/CSI-RS for CQI</w:t>
            </w:r>
            <w:r w:rsidRPr="007C6716">
              <w:rPr>
                <w:sz w:val="18"/>
                <w:szCs w:val="18"/>
                <w:lang w:val="en-US" w:eastAsia="en-GB"/>
              </w:rPr>
              <w:t xml:space="preserve"> on the union of restricted serving cell symbols due to measurement of all MOs, where the restricted serving cell symbols due to measurement of MO </w:t>
            </w:r>
            <w:proofErr w:type="spellStart"/>
            <w:r w:rsidRPr="007C6716">
              <w:rPr>
                <w:i/>
                <w:iCs/>
                <w:sz w:val="18"/>
                <w:szCs w:val="18"/>
                <w:lang w:val="en-US" w:eastAsia="en-GB"/>
              </w:rPr>
              <w:t>i</w:t>
            </w:r>
            <w:proofErr w:type="spellEnd"/>
            <w:r w:rsidRPr="007C6716">
              <w:rPr>
                <w:sz w:val="18"/>
                <w:szCs w:val="18"/>
                <w:lang w:val="en-US" w:eastAsia="en-GB"/>
              </w:rPr>
              <w:t xml:space="preserve"> include </w:t>
            </w:r>
          </w:p>
          <w:p w14:paraId="68E0F0EF" w14:textId="77777777" w:rsidR="007C6716" w:rsidRPr="007C6716" w:rsidRDefault="007C6716" w:rsidP="007C6716">
            <w:pPr>
              <w:ind w:left="568" w:hanging="284"/>
              <w:rPr>
                <w:sz w:val="18"/>
                <w:szCs w:val="18"/>
                <w:lang w:val="en-US" w:eastAsia="en-GB"/>
              </w:rPr>
            </w:pPr>
            <w:r w:rsidRPr="007C6716">
              <w:rPr>
                <w:sz w:val="18"/>
                <w:szCs w:val="18"/>
                <w:lang w:val="en-US" w:eastAsia="en-GB"/>
              </w:rPr>
              <w:t>-</w:t>
            </w:r>
            <w:r w:rsidRPr="007C6716">
              <w:rPr>
                <w:sz w:val="18"/>
                <w:szCs w:val="18"/>
                <w:lang w:val="en-US" w:eastAsia="en-GB"/>
              </w:rPr>
              <w:tab/>
              <w:t xml:space="preserve">serving cell symbols fully or partially overlap with SSB symbols to be measured on MO </w:t>
            </w:r>
            <w:proofErr w:type="spellStart"/>
            <w:r w:rsidRPr="007C6716">
              <w:rPr>
                <w:i/>
                <w:iCs/>
                <w:sz w:val="18"/>
                <w:szCs w:val="18"/>
                <w:lang w:val="en-US" w:eastAsia="en-GB"/>
              </w:rPr>
              <w:t>i</w:t>
            </w:r>
            <w:proofErr w:type="spellEnd"/>
            <w:r w:rsidRPr="007C6716">
              <w:rPr>
                <w:sz w:val="18"/>
                <w:szCs w:val="18"/>
                <w:lang w:val="en-US" w:eastAsia="en-GB"/>
              </w:rPr>
              <w:t xml:space="preserve">, and </w:t>
            </w:r>
            <w:r w:rsidRPr="007C6716">
              <w:rPr>
                <w:rFonts w:ascii="Cambria Math" w:hAnsi="Cambria Math" w:cs="Cambria Math"/>
                <w:bCs/>
                <w:iCs/>
                <w:sz w:val="18"/>
                <w:szCs w:val="18"/>
                <w:lang w:val="en-US" w:eastAsia="en-GB"/>
              </w:rPr>
              <w:t>△</w:t>
            </w:r>
            <w:r w:rsidRPr="007C6716">
              <w:rPr>
                <w:bCs/>
                <w:iCs/>
                <w:sz w:val="18"/>
                <w:szCs w:val="18"/>
                <w:lang w:val="en-US" w:eastAsia="en-GB"/>
              </w:rPr>
              <w:t>t</w:t>
            </w:r>
            <w:r w:rsidRPr="007C6716">
              <w:rPr>
                <w:sz w:val="18"/>
                <w:szCs w:val="18"/>
                <w:lang w:val="en-US" w:eastAsia="en-GB"/>
              </w:rPr>
              <w:t xml:space="preserve"> serving cell symbol before each consecutive SSB symbols to be measured and </w:t>
            </w:r>
            <w:r w:rsidRPr="007C6716">
              <w:rPr>
                <w:rFonts w:ascii="Cambria Math" w:hAnsi="Cambria Math" w:cs="Cambria Math"/>
                <w:bCs/>
                <w:iCs/>
                <w:sz w:val="18"/>
                <w:szCs w:val="18"/>
                <w:lang w:val="en-US" w:eastAsia="en-GB"/>
              </w:rPr>
              <w:t>△</w:t>
            </w:r>
            <w:r w:rsidRPr="007C6716">
              <w:rPr>
                <w:bCs/>
                <w:iCs/>
                <w:sz w:val="18"/>
                <w:szCs w:val="18"/>
                <w:lang w:val="en-US" w:eastAsia="en-GB"/>
              </w:rPr>
              <w:t>t</w:t>
            </w:r>
            <w:r w:rsidRPr="007C6716">
              <w:rPr>
                <w:sz w:val="18"/>
                <w:szCs w:val="18"/>
                <w:lang w:val="en-US" w:eastAsia="en-GB"/>
              </w:rPr>
              <w:t xml:space="preserve"> serving cell symbol after each consecutive SSB symbols to be measured within SMTC window duration, if [</w:t>
            </w:r>
            <w:proofErr w:type="spellStart"/>
            <w:r w:rsidRPr="007C6716">
              <w:rPr>
                <w:sz w:val="18"/>
                <w:szCs w:val="18"/>
                <w:lang w:val="en-US" w:eastAsia="en-GB"/>
              </w:rPr>
              <w:t>deriveSSB</w:t>
            </w:r>
            <w:proofErr w:type="spellEnd"/>
            <w:r w:rsidRPr="007C6716">
              <w:rPr>
                <w:sz w:val="18"/>
                <w:szCs w:val="18"/>
                <w:lang w:val="en-US" w:eastAsia="en-GB"/>
              </w:rPr>
              <w:t>-</w:t>
            </w:r>
            <w:proofErr w:type="spellStart"/>
            <w:r w:rsidRPr="007C6716">
              <w:rPr>
                <w:sz w:val="18"/>
                <w:szCs w:val="18"/>
                <w:lang w:val="en-US" w:eastAsia="en-GB"/>
              </w:rPr>
              <w:t>IndexFromCell</w:t>
            </w:r>
            <w:proofErr w:type="spellEnd"/>
            <w:r w:rsidRPr="007C6716">
              <w:rPr>
                <w:sz w:val="18"/>
                <w:szCs w:val="18"/>
                <w:lang w:val="en-US" w:eastAsia="en-GB"/>
              </w:rPr>
              <w:t xml:space="preserve">-inter] is enabled for MO </w:t>
            </w:r>
            <w:proofErr w:type="spellStart"/>
            <w:r w:rsidRPr="007C6716">
              <w:rPr>
                <w:i/>
                <w:iCs/>
                <w:sz w:val="18"/>
                <w:szCs w:val="18"/>
                <w:lang w:val="en-US" w:eastAsia="en-GB"/>
              </w:rPr>
              <w:t>i</w:t>
            </w:r>
            <w:proofErr w:type="spellEnd"/>
            <w:r w:rsidRPr="007C6716">
              <w:rPr>
                <w:sz w:val="18"/>
                <w:szCs w:val="18"/>
                <w:lang w:val="en-US" w:eastAsia="en-GB"/>
              </w:rPr>
              <w:t>, [and the alignment enabling conditions are satisfied.]</w:t>
            </w:r>
            <w:r w:rsidRPr="007C6716">
              <w:rPr>
                <w:bCs/>
                <w:iCs/>
                <w:sz w:val="18"/>
                <w:szCs w:val="18"/>
                <w:lang w:val="en-US" w:eastAsia="en-GB"/>
              </w:rPr>
              <w:t xml:space="preserve"> </w:t>
            </w:r>
            <w:r w:rsidRPr="007C6716">
              <w:rPr>
                <w:rFonts w:ascii="Cambria Math" w:hAnsi="Cambria Math" w:cs="Cambria Math"/>
                <w:bCs/>
                <w:iCs/>
                <w:sz w:val="18"/>
                <w:szCs w:val="18"/>
                <w:lang w:val="en-US" w:eastAsia="en-GB"/>
              </w:rPr>
              <w:t>△</w:t>
            </w:r>
            <w:r w:rsidRPr="007C6716">
              <w:rPr>
                <w:bCs/>
                <w:iCs/>
                <w:sz w:val="18"/>
                <w:szCs w:val="18"/>
                <w:lang w:val="en-US" w:eastAsia="en-GB"/>
              </w:rPr>
              <w:t xml:space="preserve">t is defined as the minimum integer number of symbols with total duration no smaller than the tolerance specified in </w:t>
            </w:r>
            <w:r w:rsidRPr="007C6716">
              <w:rPr>
                <w:rFonts w:eastAsia="SimSun"/>
                <w:bCs/>
                <w:iCs/>
                <w:sz w:val="18"/>
                <w:szCs w:val="18"/>
                <w:lang w:val="en-US" w:eastAsia="en-US"/>
              </w:rPr>
              <w:t>clause 7.9.</w:t>
            </w:r>
          </w:p>
          <w:p w14:paraId="1887DE43" w14:textId="77777777" w:rsidR="007C6716" w:rsidRPr="007C6716" w:rsidRDefault="007C6716" w:rsidP="007C6716">
            <w:pPr>
              <w:ind w:left="568" w:hanging="284"/>
              <w:rPr>
                <w:sz w:val="18"/>
                <w:szCs w:val="18"/>
                <w:lang w:val="en-US" w:eastAsia="en-GB"/>
              </w:rPr>
            </w:pPr>
            <w:r w:rsidRPr="007C6716">
              <w:rPr>
                <w:sz w:val="18"/>
                <w:szCs w:val="18"/>
                <w:lang w:val="en-US" w:eastAsia="en-GB"/>
              </w:rPr>
              <w:t>-</w:t>
            </w:r>
            <w:r w:rsidRPr="007C6716">
              <w:rPr>
                <w:sz w:val="18"/>
                <w:szCs w:val="18"/>
                <w:lang w:val="en-US" w:eastAsia="en-GB"/>
              </w:rPr>
              <w:tab/>
              <w:t xml:space="preserve">serving cell symbols fully or partially overlap with SMTC window for MO </w:t>
            </w:r>
            <w:proofErr w:type="spellStart"/>
            <w:r w:rsidRPr="007C6716">
              <w:rPr>
                <w:i/>
                <w:iCs/>
                <w:sz w:val="18"/>
                <w:szCs w:val="18"/>
                <w:lang w:val="en-US" w:eastAsia="en-GB"/>
              </w:rPr>
              <w:t>i</w:t>
            </w:r>
            <w:proofErr w:type="spellEnd"/>
            <w:r w:rsidRPr="007C6716">
              <w:rPr>
                <w:sz w:val="18"/>
                <w:szCs w:val="18"/>
                <w:lang w:val="en-US" w:eastAsia="en-GB"/>
              </w:rPr>
              <w:t xml:space="preserve"> and on 1 serving cell symbol before and after the SMTC window, if </w:t>
            </w:r>
            <w:proofErr w:type="spellStart"/>
            <w:r w:rsidRPr="007C6716">
              <w:rPr>
                <w:sz w:val="18"/>
                <w:szCs w:val="18"/>
                <w:lang w:val="en-US" w:eastAsia="en-GB"/>
              </w:rPr>
              <w:t>deriveSSB</w:t>
            </w:r>
            <w:proofErr w:type="spellEnd"/>
            <w:r w:rsidRPr="007C6716">
              <w:rPr>
                <w:sz w:val="18"/>
                <w:szCs w:val="18"/>
                <w:lang w:val="en-US" w:eastAsia="en-GB"/>
              </w:rPr>
              <w:t>-</w:t>
            </w:r>
            <w:proofErr w:type="spellStart"/>
            <w:r w:rsidRPr="007C6716">
              <w:rPr>
                <w:sz w:val="18"/>
                <w:szCs w:val="18"/>
                <w:lang w:val="en-US" w:eastAsia="en-GB"/>
              </w:rPr>
              <w:t>IndexFromCell</w:t>
            </w:r>
            <w:proofErr w:type="spellEnd"/>
            <w:r w:rsidRPr="007C6716">
              <w:rPr>
                <w:sz w:val="18"/>
                <w:szCs w:val="18"/>
                <w:lang w:val="en-US" w:eastAsia="en-GB"/>
              </w:rPr>
              <w:t xml:space="preserve">-inter is not enabled for MO </w:t>
            </w:r>
            <w:proofErr w:type="spellStart"/>
            <w:r w:rsidRPr="007C6716">
              <w:rPr>
                <w:i/>
                <w:iCs/>
                <w:sz w:val="18"/>
                <w:szCs w:val="18"/>
                <w:lang w:val="en-US" w:eastAsia="en-GB"/>
              </w:rPr>
              <w:t>i</w:t>
            </w:r>
            <w:proofErr w:type="spellEnd"/>
            <w:r w:rsidRPr="007C6716">
              <w:rPr>
                <w:i/>
                <w:iCs/>
                <w:sz w:val="18"/>
                <w:szCs w:val="18"/>
                <w:lang w:val="en-US" w:eastAsia="en-GB"/>
              </w:rPr>
              <w:t xml:space="preserve">, </w:t>
            </w:r>
            <w:r w:rsidRPr="007C6716">
              <w:rPr>
                <w:sz w:val="18"/>
                <w:szCs w:val="18"/>
                <w:lang w:val="en-US" w:eastAsia="en-GB"/>
              </w:rPr>
              <w:t>[or the alignment enabling conditions are not satisfied],</w:t>
            </w:r>
          </w:p>
          <w:p w14:paraId="2F667739" w14:textId="77777777" w:rsidR="007C6716" w:rsidRPr="007C6716" w:rsidRDefault="007C6716" w:rsidP="007C6716">
            <w:pPr>
              <w:ind w:left="568" w:hanging="284"/>
              <w:rPr>
                <w:sz w:val="18"/>
                <w:szCs w:val="18"/>
                <w:lang w:eastAsia="zh-CN"/>
              </w:rPr>
            </w:pPr>
            <w:r w:rsidRPr="007C6716">
              <w:rPr>
                <w:sz w:val="18"/>
                <w:szCs w:val="18"/>
                <w:lang w:eastAsia="en-GB"/>
              </w:rPr>
              <w:tab/>
              <w:t xml:space="preserve">If the high layer signalling of </w:t>
            </w:r>
            <w:r w:rsidRPr="007C6716">
              <w:rPr>
                <w:i/>
                <w:sz w:val="18"/>
                <w:szCs w:val="18"/>
                <w:lang w:eastAsia="en-GB"/>
              </w:rPr>
              <w:t>smtc2</w:t>
            </w:r>
            <w:r w:rsidRPr="007C6716">
              <w:rPr>
                <w:b/>
                <w:sz w:val="18"/>
                <w:szCs w:val="18"/>
                <w:lang w:eastAsia="en-GB"/>
              </w:rPr>
              <w:t xml:space="preserve"> </w:t>
            </w:r>
            <w:r w:rsidRPr="007C6716">
              <w:rPr>
                <w:sz w:val="18"/>
                <w:szCs w:val="18"/>
                <w:lang w:eastAsia="en-GB"/>
              </w:rPr>
              <w:t>is configured in TS 38.331 [2], the SMTC periodicity</w:t>
            </w:r>
            <w:r w:rsidRPr="007C6716">
              <w:rPr>
                <w:sz w:val="18"/>
                <w:szCs w:val="18"/>
                <w:vertAlign w:val="subscript"/>
                <w:lang w:eastAsia="en-GB"/>
              </w:rPr>
              <w:t xml:space="preserve"> </w:t>
            </w:r>
            <w:r w:rsidRPr="007C6716">
              <w:rPr>
                <w:sz w:val="18"/>
                <w:szCs w:val="18"/>
                <w:lang w:eastAsia="en-GB"/>
              </w:rPr>
              <w:t xml:space="preserve">follows </w:t>
            </w:r>
            <w:r w:rsidRPr="007C6716">
              <w:rPr>
                <w:i/>
                <w:sz w:val="18"/>
                <w:szCs w:val="18"/>
                <w:lang w:eastAsia="en-GB"/>
              </w:rPr>
              <w:t>smtc2</w:t>
            </w:r>
            <w:r w:rsidRPr="007C6716">
              <w:rPr>
                <w:sz w:val="18"/>
                <w:szCs w:val="18"/>
                <w:lang w:eastAsia="en-GB"/>
              </w:rPr>
              <w:t xml:space="preserve">; </w:t>
            </w:r>
            <w:proofErr w:type="gramStart"/>
            <w:r w:rsidRPr="007C6716">
              <w:rPr>
                <w:sz w:val="18"/>
                <w:szCs w:val="18"/>
                <w:lang w:eastAsia="en-GB"/>
              </w:rPr>
              <w:t>Otherwise</w:t>
            </w:r>
            <w:proofErr w:type="gramEnd"/>
            <w:r w:rsidRPr="007C6716">
              <w:rPr>
                <w:sz w:val="18"/>
                <w:szCs w:val="18"/>
                <w:lang w:eastAsia="en-GB"/>
              </w:rPr>
              <w:t xml:space="preserve"> the SMTC periodicity follows </w:t>
            </w:r>
            <w:r w:rsidRPr="007C6716">
              <w:rPr>
                <w:i/>
                <w:sz w:val="18"/>
                <w:szCs w:val="18"/>
                <w:lang w:eastAsia="en-GB"/>
              </w:rPr>
              <w:t>smtc1.</w:t>
            </w:r>
          </w:p>
          <w:p w14:paraId="2B5B9D79" w14:textId="346EC7E6" w:rsidR="007C6716" w:rsidRPr="007C6716" w:rsidRDefault="007C6716" w:rsidP="007C6716">
            <w:pPr>
              <w:rPr>
                <w:rFonts w:asciiTheme="minorHAnsi" w:eastAsia="新細明體" w:hAnsiTheme="minorHAnsi" w:cstheme="minorHAnsi"/>
                <w:iCs/>
                <w:lang w:val="en-US" w:eastAsia="zh-TW"/>
              </w:rPr>
            </w:pPr>
            <w:r w:rsidRPr="007C6716">
              <w:rPr>
                <w:sz w:val="18"/>
                <w:szCs w:val="18"/>
                <w:lang w:val="en-US" w:eastAsia="en-GB"/>
              </w:rPr>
              <w:t>When intra</w:t>
            </w:r>
            <w:r w:rsidRPr="007C6716">
              <w:rPr>
                <w:rFonts w:eastAsia="MS Mincho"/>
                <w:sz w:val="18"/>
                <w:szCs w:val="18"/>
                <w:lang w:val="en-US" w:eastAsia="ja-JP"/>
              </w:rPr>
              <w:t>-</w:t>
            </w:r>
            <w:r w:rsidRPr="007C6716">
              <w:rPr>
                <w:sz w:val="18"/>
                <w:szCs w:val="18"/>
                <w:lang w:val="en-US" w:eastAsia="en-GB"/>
              </w:rPr>
              <w:t>band carrier aggregation is perfo</w:t>
            </w:r>
            <w:r w:rsidRPr="007C6716">
              <w:rPr>
                <w:rFonts w:eastAsia="MS Mincho"/>
                <w:sz w:val="18"/>
                <w:szCs w:val="18"/>
                <w:lang w:val="en-US" w:eastAsia="ja-JP"/>
              </w:rPr>
              <w:t>r</w:t>
            </w:r>
            <w:r w:rsidRPr="007C6716">
              <w:rPr>
                <w:sz w:val="18"/>
                <w:szCs w:val="18"/>
                <w:lang w:val="en-US" w:eastAsia="en-GB"/>
              </w:rPr>
              <w:t>med, the scheduling restrictions due to a given serving cell should also apply to all other serving cells in the same band on the symbols</w:t>
            </w:r>
            <w:r w:rsidRPr="007C6716">
              <w:rPr>
                <w:sz w:val="18"/>
                <w:szCs w:val="18"/>
                <w:lang w:eastAsia="en-GB"/>
              </w:rPr>
              <w:t xml:space="preserve"> that fully or partially overlap with the </w:t>
            </w:r>
            <w:proofErr w:type="gramStart"/>
            <w:r w:rsidRPr="007C6716">
              <w:rPr>
                <w:sz w:val="18"/>
                <w:szCs w:val="18"/>
                <w:lang w:eastAsia="en-GB"/>
              </w:rPr>
              <w:t>aforementioned restricted</w:t>
            </w:r>
            <w:proofErr w:type="gramEnd"/>
            <w:r w:rsidRPr="007C6716">
              <w:rPr>
                <w:sz w:val="18"/>
                <w:szCs w:val="18"/>
                <w:lang w:eastAsia="en-GB"/>
              </w:rPr>
              <w:t xml:space="preserve"> symbols</w:t>
            </w:r>
            <w:r w:rsidRPr="007C6716">
              <w:rPr>
                <w:sz w:val="18"/>
                <w:szCs w:val="18"/>
                <w:lang w:val="en-US" w:eastAsia="en-GB"/>
              </w:rPr>
              <w:t>.</w:t>
            </w:r>
          </w:p>
        </w:tc>
      </w:tr>
    </w:tbl>
    <w:p w14:paraId="6095166D" w14:textId="4AADF301" w:rsidR="007C6716" w:rsidRDefault="007C6716" w:rsidP="00762D00">
      <w:pPr>
        <w:jc w:val="both"/>
        <w:rPr>
          <w:rFonts w:asciiTheme="minorHAnsi" w:eastAsia="新細明體" w:hAnsiTheme="minorHAnsi" w:cstheme="minorHAnsi"/>
          <w:iCs/>
          <w:lang w:val="en-US" w:eastAsia="zh-TW"/>
        </w:rPr>
      </w:pPr>
    </w:p>
    <w:p w14:paraId="0E505B23" w14:textId="38AFE926" w:rsidR="007C6716" w:rsidRDefault="007C6716" w:rsidP="00762D00">
      <w:pPr>
        <w:jc w:val="both"/>
        <w:rPr>
          <w:rFonts w:asciiTheme="minorHAnsi" w:eastAsia="新細明體" w:hAnsiTheme="minorHAnsi" w:cstheme="minorHAnsi"/>
          <w:iCs/>
          <w:lang w:val="en-US" w:eastAsia="zh-TW"/>
        </w:rPr>
      </w:pPr>
      <w:r>
        <w:rPr>
          <w:rFonts w:asciiTheme="minorHAnsi" w:eastAsia="新細明體" w:hAnsiTheme="minorHAnsi" w:cstheme="minorHAnsi" w:hint="eastAsia"/>
          <w:iCs/>
          <w:lang w:val="en-US" w:eastAsia="zh-TW"/>
        </w:rPr>
        <w:t>T</w:t>
      </w:r>
      <w:r>
        <w:rPr>
          <w:rFonts w:asciiTheme="minorHAnsi" w:eastAsia="新細明體" w:hAnsiTheme="minorHAnsi" w:cstheme="minorHAnsi"/>
          <w:iCs/>
          <w:lang w:val="en-US" w:eastAsia="zh-TW"/>
        </w:rPr>
        <w:t xml:space="preserve">he UE capability </w:t>
      </w:r>
      <w:proofErr w:type="spellStart"/>
      <w:r w:rsidRPr="007C6716">
        <w:rPr>
          <w:rFonts w:asciiTheme="minorHAnsi" w:eastAsia="新細明體" w:hAnsiTheme="minorHAnsi" w:cstheme="minorHAnsi"/>
          <w:iCs/>
          <w:lang w:val="en-US" w:eastAsia="zh-TW"/>
        </w:rPr>
        <w:t>simultaneousRxDataSSB-DiffNumerology</w:t>
      </w:r>
      <w:proofErr w:type="spellEnd"/>
      <w:r>
        <w:rPr>
          <w:rFonts w:asciiTheme="minorHAnsi" w:eastAsia="新細明體" w:hAnsiTheme="minorHAnsi" w:cstheme="minorHAnsi"/>
          <w:iCs/>
          <w:lang w:val="en-US" w:eastAsia="zh-TW"/>
        </w:rPr>
        <w:t xml:space="preserve"> is tentatively used to indicate whether UE support measuring SSB and receive data with different numerology at the same time. </w:t>
      </w:r>
      <w:r w:rsidR="00476EF0">
        <w:rPr>
          <w:rFonts w:asciiTheme="minorHAnsi" w:eastAsia="新細明體" w:hAnsiTheme="minorHAnsi" w:cstheme="minorHAnsi"/>
          <w:iCs/>
          <w:lang w:val="en-US" w:eastAsia="zh-TW"/>
        </w:rPr>
        <w:t>Two</w:t>
      </w:r>
      <w:r>
        <w:rPr>
          <w:rFonts w:asciiTheme="minorHAnsi" w:eastAsia="新細明體" w:hAnsiTheme="minorHAnsi" w:cstheme="minorHAnsi"/>
          <w:iCs/>
          <w:lang w:val="en-US" w:eastAsia="zh-TW"/>
        </w:rPr>
        <w:t xml:space="preserve"> related UE capabilities are provided below</w:t>
      </w:r>
      <w:r w:rsidR="00850E2E">
        <w:rPr>
          <w:rFonts w:asciiTheme="minorHAnsi" w:eastAsia="新細明體" w:hAnsiTheme="minorHAnsi" w:cstheme="minorHAnsi"/>
          <w:iCs/>
          <w:lang w:val="en-US" w:eastAsia="zh-TW"/>
        </w:rPr>
        <w:t>:</w:t>
      </w:r>
    </w:p>
    <w:tbl>
      <w:tblPr>
        <w:tblW w:w="8647"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647"/>
      </w:tblGrid>
      <w:tr w:rsidR="007C6716" w14:paraId="0C9FEA25" w14:textId="77777777" w:rsidTr="00656FD8">
        <w:trPr>
          <w:cantSplit/>
        </w:trPr>
        <w:tc>
          <w:tcPr>
            <w:tcW w:w="8647" w:type="dxa"/>
            <w:tcBorders>
              <w:top w:val="single" w:sz="4" w:space="0" w:color="808080"/>
              <w:left w:val="single" w:sz="4" w:space="0" w:color="808080"/>
              <w:bottom w:val="single" w:sz="4" w:space="0" w:color="808080"/>
              <w:right w:val="single" w:sz="4" w:space="0" w:color="808080"/>
            </w:tcBorders>
            <w:hideMark/>
          </w:tcPr>
          <w:p w14:paraId="44C789E7" w14:textId="77777777" w:rsidR="007C6716" w:rsidRDefault="007C6716" w:rsidP="007C6716">
            <w:pPr>
              <w:pStyle w:val="TAL"/>
              <w:spacing w:after="120"/>
              <w:rPr>
                <w:rFonts w:cs="Arial"/>
                <w:b/>
                <w:bCs/>
                <w:i/>
                <w:iCs/>
                <w:szCs w:val="18"/>
                <w:lang w:eastAsia="ja-JP"/>
              </w:rPr>
            </w:pPr>
            <w:proofErr w:type="spellStart"/>
            <w:r>
              <w:rPr>
                <w:rFonts w:cs="Arial"/>
                <w:b/>
                <w:bCs/>
                <w:i/>
                <w:iCs/>
                <w:szCs w:val="18"/>
              </w:rPr>
              <w:lastRenderedPageBreak/>
              <w:t>simultaneousRxDataSSB-DiffNumerology</w:t>
            </w:r>
            <w:proofErr w:type="spellEnd"/>
          </w:p>
          <w:p w14:paraId="36022DB3" w14:textId="77777777" w:rsidR="007C6716" w:rsidRDefault="007C6716" w:rsidP="007C6716">
            <w:pPr>
              <w:pStyle w:val="TAL"/>
              <w:spacing w:after="120"/>
              <w:rPr>
                <w:rFonts w:cs="Arial"/>
                <w:b/>
                <w:bCs/>
                <w:i/>
                <w:iCs/>
                <w:szCs w:val="18"/>
              </w:rPr>
            </w:pPr>
            <w:r>
              <w:t xml:space="preserve">Indicates whether the UE supports concurrent </w:t>
            </w:r>
            <w:r w:rsidRPr="007C6716">
              <w:rPr>
                <w:highlight w:val="yellow"/>
              </w:rPr>
              <w:t>intra-frequency measurement</w:t>
            </w:r>
            <w:r>
              <w:t xml:space="preserve"> on serving cell or neighbouring cell and PDCCH or PDSCH reception from the serving cell with a different numerology as defined in clause 8 and 9 of TS 38.133 [5].</w:t>
            </w:r>
          </w:p>
        </w:tc>
      </w:tr>
      <w:tr w:rsidR="007C6716" w14:paraId="1390DDFE" w14:textId="77777777" w:rsidTr="00656FD8">
        <w:trPr>
          <w:cantSplit/>
        </w:trPr>
        <w:tc>
          <w:tcPr>
            <w:tcW w:w="8647" w:type="dxa"/>
            <w:tcBorders>
              <w:top w:val="single" w:sz="4" w:space="0" w:color="808080"/>
              <w:left w:val="single" w:sz="4" w:space="0" w:color="808080"/>
              <w:bottom w:val="single" w:sz="4" w:space="0" w:color="808080"/>
              <w:right w:val="single" w:sz="4" w:space="0" w:color="808080"/>
            </w:tcBorders>
            <w:hideMark/>
          </w:tcPr>
          <w:p w14:paraId="6DE6572B" w14:textId="77777777" w:rsidR="007C6716" w:rsidRDefault="007C6716" w:rsidP="007C6716">
            <w:pPr>
              <w:pStyle w:val="TAL"/>
              <w:spacing w:after="120"/>
              <w:rPr>
                <w:rFonts w:cs="Arial"/>
                <w:b/>
                <w:bCs/>
                <w:i/>
                <w:iCs/>
                <w:szCs w:val="18"/>
                <w:lang w:eastAsia="zh-CN"/>
              </w:rPr>
            </w:pPr>
            <w:r>
              <w:rPr>
                <w:rFonts w:cs="Arial"/>
                <w:b/>
                <w:bCs/>
                <w:i/>
                <w:iCs/>
                <w:szCs w:val="18"/>
              </w:rPr>
              <w:t>simultaneousRxDataSSB-DiffNumerology-Inter-r16</w:t>
            </w:r>
          </w:p>
          <w:p w14:paraId="38AB02A2" w14:textId="77777777" w:rsidR="007C6716" w:rsidRDefault="007C6716" w:rsidP="007C6716">
            <w:pPr>
              <w:pStyle w:val="TAL"/>
              <w:spacing w:after="120"/>
              <w:rPr>
                <w:rFonts w:cs="Arial"/>
                <w:b/>
                <w:bCs/>
                <w:i/>
                <w:iCs/>
                <w:szCs w:val="18"/>
                <w:lang w:eastAsia="ja-JP"/>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w:t>
            </w:r>
            <w:r w:rsidRPr="00476EF0">
              <w:rPr>
                <w:highlight w:val="yellow"/>
              </w:rPr>
              <w:t xml:space="preserve">indicates support of </w:t>
            </w:r>
            <w:r w:rsidRPr="00476EF0">
              <w:rPr>
                <w:i/>
                <w:iCs/>
                <w:highlight w:val="yellow"/>
              </w:rPr>
              <w:t>interFrequencyMeas-NoGap-r16</w:t>
            </w:r>
            <w:r>
              <w:t>. If this parameter is indicated for FR1 and FR2 differently, each indication corresponds to the frequency range where the SSB and PDCCH/PDSCH are received.</w:t>
            </w:r>
          </w:p>
        </w:tc>
      </w:tr>
    </w:tbl>
    <w:p w14:paraId="798892B5" w14:textId="0CF331C6" w:rsidR="007C6716" w:rsidRDefault="007C6716" w:rsidP="00762D00">
      <w:pPr>
        <w:jc w:val="both"/>
        <w:rPr>
          <w:rFonts w:asciiTheme="minorHAnsi" w:eastAsia="新細明體" w:hAnsiTheme="minorHAnsi" w:cstheme="minorHAnsi"/>
          <w:iCs/>
          <w:lang w:val="en-US" w:eastAsia="zh-TW"/>
        </w:rPr>
      </w:pPr>
      <w:r>
        <w:rPr>
          <w:rFonts w:asciiTheme="minorHAnsi" w:eastAsia="新細明體" w:hAnsiTheme="minorHAnsi" w:cstheme="minorHAnsi" w:hint="eastAsia"/>
          <w:iCs/>
          <w:lang w:val="en-US" w:eastAsia="zh-TW"/>
        </w:rPr>
        <w:t>F</w:t>
      </w:r>
      <w:r>
        <w:rPr>
          <w:rFonts w:asciiTheme="minorHAnsi" w:eastAsia="新細明體" w:hAnsiTheme="minorHAnsi" w:cstheme="minorHAnsi"/>
          <w:iCs/>
          <w:lang w:val="en-US" w:eastAsia="zh-TW"/>
        </w:rPr>
        <w:t>rom the</w:t>
      </w:r>
      <w:r w:rsidR="00656FD8">
        <w:rPr>
          <w:rFonts w:asciiTheme="minorHAnsi" w:eastAsia="新細明體" w:hAnsiTheme="minorHAnsi" w:cstheme="minorHAnsi"/>
          <w:iCs/>
          <w:lang w:val="en-US" w:eastAsia="zh-TW"/>
        </w:rPr>
        <w:t xml:space="preserve"> above</w:t>
      </w:r>
      <w:r>
        <w:rPr>
          <w:rFonts w:asciiTheme="minorHAnsi" w:eastAsia="新細明體" w:hAnsiTheme="minorHAnsi" w:cstheme="minorHAnsi"/>
          <w:iCs/>
          <w:lang w:val="en-US" w:eastAsia="zh-TW"/>
        </w:rPr>
        <w:t xml:space="preserve"> definitions of the parameters, we know that</w:t>
      </w:r>
    </w:p>
    <w:p w14:paraId="27F33BF2" w14:textId="73724B1C" w:rsidR="007C6716" w:rsidRDefault="007C6716" w:rsidP="007C6716">
      <w:pPr>
        <w:pStyle w:val="ListParagraph"/>
        <w:numPr>
          <w:ilvl w:val="0"/>
          <w:numId w:val="18"/>
        </w:numPr>
        <w:jc w:val="both"/>
        <w:rPr>
          <w:rFonts w:asciiTheme="minorHAnsi" w:eastAsia="新細明體" w:hAnsiTheme="minorHAnsi" w:cstheme="minorHAnsi"/>
          <w:iCs/>
          <w:lang w:val="en-US" w:eastAsia="zh-TW"/>
        </w:rPr>
      </w:pPr>
      <w:proofErr w:type="spellStart"/>
      <w:r w:rsidRPr="00A54B85">
        <w:rPr>
          <w:rFonts w:asciiTheme="minorHAnsi" w:eastAsia="新細明體" w:hAnsiTheme="minorHAnsi" w:cstheme="minorHAnsi"/>
          <w:b/>
          <w:bCs/>
          <w:iCs/>
          <w:lang w:val="en-US" w:eastAsia="zh-TW"/>
        </w:rPr>
        <w:t>simultaneousRxDataSSB-DiffNumerology</w:t>
      </w:r>
      <w:proofErr w:type="spellEnd"/>
      <w:r>
        <w:rPr>
          <w:rFonts w:asciiTheme="minorHAnsi" w:eastAsia="新細明體" w:hAnsiTheme="minorHAnsi" w:cstheme="minorHAnsi"/>
          <w:iCs/>
          <w:lang w:val="en-US" w:eastAsia="zh-TW"/>
        </w:rPr>
        <w:t xml:space="preserve"> is only applicable to intra-frequency measurements. Therefore, it </w:t>
      </w:r>
      <w:r w:rsidR="00B1115B">
        <w:rPr>
          <w:rFonts w:asciiTheme="minorHAnsi" w:eastAsia="新細明體" w:hAnsiTheme="minorHAnsi" w:cstheme="minorHAnsi"/>
          <w:iCs/>
          <w:lang w:val="en-US" w:eastAsia="zh-TW"/>
        </w:rPr>
        <w:t xml:space="preserve">is </w:t>
      </w:r>
      <w:r w:rsidR="003C3AAA">
        <w:rPr>
          <w:rFonts w:asciiTheme="minorHAnsi" w:eastAsia="新細明體" w:hAnsiTheme="minorHAnsi" w:cstheme="minorHAnsi"/>
          <w:iCs/>
          <w:lang w:val="en-US" w:eastAsia="zh-TW"/>
        </w:rPr>
        <w:t>questionable</w:t>
      </w:r>
      <w:r>
        <w:rPr>
          <w:rFonts w:asciiTheme="minorHAnsi" w:eastAsia="新細明體" w:hAnsiTheme="minorHAnsi" w:cstheme="minorHAnsi"/>
          <w:iCs/>
          <w:lang w:val="en-US" w:eastAsia="zh-TW"/>
        </w:rPr>
        <w:t xml:space="preserve"> to use</w:t>
      </w:r>
      <w:r w:rsidR="003C3AAA">
        <w:rPr>
          <w:rFonts w:asciiTheme="minorHAnsi" w:eastAsia="新細明體" w:hAnsiTheme="minorHAnsi" w:cstheme="minorHAnsi"/>
          <w:iCs/>
          <w:lang w:val="en-US" w:eastAsia="zh-TW"/>
        </w:rPr>
        <w:t xml:space="preserve"> it</w:t>
      </w:r>
      <w:r>
        <w:rPr>
          <w:rFonts w:asciiTheme="minorHAnsi" w:eastAsia="新細明體" w:hAnsiTheme="minorHAnsi" w:cstheme="minorHAnsi"/>
          <w:iCs/>
          <w:lang w:val="en-US" w:eastAsia="zh-TW"/>
        </w:rPr>
        <w:t xml:space="preserve"> in Section 9.3.10.3.2 which is for inter-frequency</w:t>
      </w:r>
    </w:p>
    <w:p w14:paraId="3390CD9E" w14:textId="5A9DBAE4" w:rsidR="007C6716" w:rsidRPr="007C6716" w:rsidRDefault="007C6716" w:rsidP="007C6716">
      <w:pPr>
        <w:pStyle w:val="ListParagraph"/>
        <w:numPr>
          <w:ilvl w:val="0"/>
          <w:numId w:val="18"/>
        </w:numPr>
        <w:jc w:val="both"/>
        <w:rPr>
          <w:rFonts w:asciiTheme="minorHAnsi" w:eastAsia="新細明體" w:hAnsiTheme="minorHAnsi" w:cstheme="minorHAnsi"/>
          <w:iCs/>
          <w:lang w:val="en-US" w:eastAsia="zh-TW"/>
        </w:rPr>
      </w:pPr>
      <w:r w:rsidRPr="00A54B85">
        <w:rPr>
          <w:rFonts w:asciiTheme="minorHAnsi" w:eastAsia="新細明體" w:hAnsiTheme="minorHAnsi" w:cstheme="minorHAnsi"/>
          <w:b/>
          <w:bCs/>
          <w:iCs/>
          <w:lang w:val="en-US" w:eastAsia="zh-TW"/>
        </w:rPr>
        <w:t>simultaneousRxDataSSB-DiffNumerology-Inter-r16</w:t>
      </w:r>
      <w:r>
        <w:rPr>
          <w:rFonts w:asciiTheme="minorHAnsi" w:eastAsia="新細明體" w:hAnsiTheme="minorHAnsi" w:cstheme="minorHAnsi"/>
          <w:iCs/>
          <w:lang w:val="en-US" w:eastAsia="zh-TW"/>
        </w:rPr>
        <w:t xml:space="preserve"> needs a prerequisite </w:t>
      </w:r>
      <w:r w:rsidRPr="007C6716">
        <w:rPr>
          <w:rFonts w:asciiTheme="minorHAnsi" w:eastAsia="新細明體" w:hAnsiTheme="minorHAnsi" w:cstheme="minorHAnsi"/>
          <w:iCs/>
          <w:lang w:val="en-US" w:eastAsia="zh-TW"/>
        </w:rPr>
        <w:t>interFrequencyMeas-NoGap-r16</w:t>
      </w:r>
      <w:r>
        <w:rPr>
          <w:rFonts w:asciiTheme="minorHAnsi" w:eastAsia="新細明體" w:hAnsiTheme="minorHAnsi" w:cstheme="minorHAnsi"/>
          <w:iCs/>
          <w:lang w:val="en-US" w:eastAsia="zh-TW"/>
        </w:rPr>
        <w:t>, which is a separate and independent feature</w:t>
      </w:r>
      <w:r w:rsidR="00A54B85">
        <w:rPr>
          <w:rFonts w:asciiTheme="minorHAnsi" w:eastAsia="新細明體" w:hAnsiTheme="minorHAnsi" w:cstheme="minorHAnsi"/>
          <w:iCs/>
          <w:lang w:val="en-US" w:eastAsia="zh-TW"/>
        </w:rPr>
        <w:t xml:space="preserve">. As clearly indicated in Section 9.3.1, NCSG handles the frequency layers with SSB </w:t>
      </w:r>
      <w:r w:rsidR="00452C6B">
        <w:rPr>
          <w:rFonts w:asciiTheme="minorHAnsi" w:eastAsia="新細明體" w:hAnsiTheme="minorHAnsi" w:cstheme="minorHAnsi"/>
          <w:iCs/>
          <w:lang w:val="en-US" w:eastAsia="zh-TW"/>
        </w:rPr>
        <w:t>not completely</w:t>
      </w:r>
      <w:r w:rsidR="00A54B85">
        <w:rPr>
          <w:rFonts w:asciiTheme="minorHAnsi" w:eastAsia="新細明體" w:hAnsiTheme="minorHAnsi" w:cstheme="minorHAnsi"/>
          <w:iCs/>
          <w:lang w:val="en-US" w:eastAsia="zh-TW"/>
        </w:rPr>
        <w:t xml:space="preserve"> covered by UE’s active BWP, while </w:t>
      </w:r>
      <w:r w:rsidR="00A54B85" w:rsidRPr="007C6716">
        <w:rPr>
          <w:rFonts w:asciiTheme="minorHAnsi" w:eastAsia="新細明體" w:hAnsiTheme="minorHAnsi" w:cstheme="minorHAnsi"/>
          <w:iCs/>
          <w:lang w:val="en-US" w:eastAsia="zh-TW"/>
        </w:rPr>
        <w:t>interFrequencyMeas-NoGap-r16</w:t>
      </w:r>
      <w:r w:rsidR="00A54B85">
        <w:rPr>
          <w:rFonts w:asciiTheme="minorHAnsi" w:eastAsia="新細明體" w:hAnsiTheme="minorHAnsi" w:cstheme="minorHAnsi"/>
          <w:iCs/>
          <w:lang w:val="en-US" w:eastAsia="zh-TW"/>
        </w:rPr>
        <w:t xml:space="preserve"> handles the other case.</w:t>
      </w:r>
    </w:p>
    <w:p w14:paraId="7A39C1ED" w14:textId="49B42BEC" w:rsidR="00475D88" w:rsidRDefault="00A54B85" w:rsidP="00762D00">
      <w:pPr>
        <w:jc w:val="both"/>
        <w:rPr>
          <w:rFonts w:asciiTheme="minorHAnsi" w:eastAsia="新細明體" w:hAnsiTheme="minorHAnsi" w:cstheme="minorHAnsi"/>
          <w:iCs/>
          <w:lang w:val="en-US" w:eastAsia="zh-TW"/>
        </w:rPr>
      </w:pPr>
      <w:r>
        <w:rPr>
          <w:rFonts w:asciiTheme="minorHAnsi" w:eastAsia="新細明體" w:hAnsiTheme="minorHAnsi" w:cstheme="minorHAnsi" w:hint="eastAsia"/>
          <w:iCs/>
          <w:lang w:val="en-US" w:eastAsia="zh-TW"/>
        </w:rPr>
        <w:t>T</w:t>
      </w:r>
      <w:r>
        <w:rPr>
          <w:rFonts w:asciiTheme="minorHAnsi" w:eastAsia="新細明體" w:hAnsiTheme="minorHAnsi" w:cstheme="minorHAnsi"/>
          <w:iCs/>
          <w:lang w:val="en-US" w:eastAsia="zh-TW"/>
        </w:rPr>
        <w:t xml:space="preserve">herefore, neither existing </w:t>
      </w:r>
      <w:r w:rsidR="00475D88">
        <w:rPr>
          <w:rFonts w:asciiTheme="minorHAnsi" w:eastAsia="新細明體" w:hAnsiTheme="minorHAnsi" w:cstheme="minorHAnsi"/>
          <w:iCs/>
          <w:lang w:val="en-US" w:eastAsia="zh-TW"/>
        </w:rPr>
        <w:t>capability</w:t>
      </w:r>
      <w:r>
        <w:rPr>
          <w:rFonts w:asciiTheme="minorHAnsi" w:eastAsia="新細明體" w:hAnsiTheme="minorHAnsi" w:cstheme="minorHAnsi"/>
          <w:iCs/>
          <w:lang w:val="en-US" w:eastAsia="zh-TW"/>
        </w:rPr>
        <w:t xml:space="preserve"> </w:t>
      </w:r>
      <w:r w:rsidR="00475D88">
        <w:rPr>
          <w:rFonts w:asciiTheme="minorHAnsi" w:eastAsia="新細明體" w:hAnsiTheme="minorHAnsi" w:cstheme="minorHAnsi"/>
          <w:iCs/>
          <w:lang w:val="en-US" w:eastAsia="zh-TW"/>
        </w:rPr>
        <w:t>is</w:t>
      </w:r>
      <w:r>
        <w:rPr>
          <w:rFonts w:asciiTheme="minorHAnsi" w:eastAsia="新細明體" w:hAnsiTheme="minorHAnsi" w:cstheme="minorHAnsi"/>
          <w:iCs/>
          <w:lang w:val="en-US" w:eastAsia="zh-TW"/>
        </w:rPr>
        <w:t xml:space="preserve"> suitable for the case we considered in Section 9.3.10.3.2. </w:t>
      </w:r>
    </w:p>
    <w:p w14:paraId="7E3A7661" w14:textId="4C1FFB25" w:rsidR="00475D88" w:rsidRDefault="00475D88" w:rsidP="00762D00">
      <w:pPr>
        <w:jc w:val="both"/>
        <w:rPr>
          <w:rFonts w:asciiTheme="minorHAnsi" w:eastAsia="新細明體" w:hAnsiTheme="minorHAnsi" w:cstheme="minorHAnsi"/>
          <w:iCs/>
          <w:lang w:val="en-US" w:eastAsia="zh-TW"/>
        </w:rPr>
      </w:pPr>
      <w:r>
        <w:rPr>
          <w:rFonts w:asciiTheme="minorHAnsi" w:eastAsia="新細明體" w:hAnsiTheme="minorHAnsi" w:cstheme="minorHAnsi"/>
          <w:iCs/>
          <w:lang w:val="en-US" w:eastAsia="zh-TW"/>
        </w:rPr>
        <w:t>Fundamentally, it can be in general assumed that if the signals are transmitted on 2 (</w:t>
      </w:r>
      <w:r w:rsidR="00476EF0">
        <w:rPr>
          <w:rFonts w:asciiTheme="minorHAnsi" w:eastAsia="新細明體" w:hAnsiTheme="minorHAnsi" w:cstheme="minorHAnsi"/>
          <w:iCs/>
          <w:lang w:val="en-US" w:eastAsia="zh-TW"/>
        </w:rPr>
        <w:t>physically separated</w:t>
      </w:r>
      <w:r w:rsidR="00D83A7E">
        <w:rPr>
          <w:rFonts w:asciiTheme="minorHAnsi" w:eastAsia="新細明體" w:hAnsiTheme="minorHAnsi" w:cstheme="minorHAnsi"/>
          <w:iCs/>
          <w:lang w:val="en-US" w:eastAsia="zh-TW"/>
        </w:rPr>
        <w:t>)</w:t>
      </w:r>
      <w:r>
        <w:rPr>
          <w:rFonts w:asciiTheme="minorHAnsi" w:eastAsia="新細明體" w:hAnsiTheme="minorHAnsi" w:cstheme="minorHAnsi"/>
          <w:iCs/>
          <w:lang w:val="en-US" w:eastAsia="zh-TW"/>
        </w:rPr>
        <w:t xml:space="preserve"> bands, the typical UE implementation is to use separate RF chains to receive the signals. With separate RF chains, the corresponding sampling rates and FFT window timing can</w:t>
      </w:r>
      <w:r w:rsidR="00476EF0">
        <w:rPr>
          <w:rFonts w:asciiTheme="minorHAnsi" w:eastAsia="新細明體" w:hAnsiTheme="minorHAnsi" w:cstheme="minorHAnsi"/>
          <w:iCs/>
          <w:lang w:val="en-US" w:eastAsia="zh-TW"/>
        </w:rPr>
        <w:t xml:space="preserve"> </w:t>
      </w:r>
      <w:r w:rsidR="00B1115B">
        <w:rPr>
          <w:rFonts w:asciiTheme="minorHAnsi" w:eastAsia="新細明體" w:hAnsiTheme="minorHAnsi" w:cstheme="minorHAnsi"/>
          <w:iCs/>
          <w:lang w:val="en-US" w:eastAsia="zh-TW"/>
        </w:rPr>
        <w:t xml:space="preserve">be </w:t>
      </w:r>
      <w:r w:rsidR="00476EF0">
        <w:rPr>
          <w:rFonts w:asciiTheme="minorHAnsi" w:eastAsia="新細明體" w:hAnsiTheme="minorHAnsi" w:cstheme="minorHAnsi"/>
          <w:iCs/>
          <w:lang w:val="en-US" w:eastAsia="zh-TW"/>
        </w:rPr>
        <w:t>controlled independently</w:t>
      </w:r>
      <w:r>
        <w:rPr>
          <w:rFonts w:asciiTheme="minorHAnsi" w:eastAsia="新細明體" w:hAnsiTheme="minorHAnsi" w:cstheme="minorHAnsi"/>
          <w:iCs/>
          <w:lang w:val="en-US" w:eastAsia="zh-TW"/>
        </w:rPr>
        <w:t xml:space="preserve">. Hence, we believe that this additional scheduling restriction due to mix-numerology is not needed if the target frequency to be measured is on a different band with UE’ serving cells. An </w:t>
      </w:r>
      <w:r w:rsidR="00B55AE4">
        <w:rPr>
          <w:rFonts w:asciiTheme="minorHAnsi" w:eastAsia="新細明體" w:hAnsiTheme="minorHAnsi" w:cstheme="minorHAnsi"/>
          <w:iCs/>
          <w:lang w:val="en-US" w:eastAsia="zh-TW"/>
        </w:rPr>
        <w:t>obvious</w:t>
      </w:r>
      <w:r>
        <w:rPr>
          <w:rFonts w:asciiTheme="minorHAnsi" w:eastAsia="新細明體" w:hAnsiTheme="minorHAnsi" w:cstheme="minorHAnsi"/>
          <w:iCs/>
          <w:lang w:val="en-US" w:eastAsia="zh-TW"/>
        </w:rPr>
        <w:t xml:space="preserve"> example is that all serving cells are in FR1 </w:t>
      </w:r>
      <w:r w:rsidR="00B55AE4">
        <w:rPr>
          <w:rFonts w:asciiTheme="minorHAnsi" w:eastAsia="新細明體" w:hAnsiTheme="minorHAnsi" w:cstheme="minorHAnsi"/>
          <w:iCs/>
          <w:lang w:val="en-US" w:eastAsia="zh-TW"/>
        </w:rPr>
        <w:t>and</w:t>
      </w:r>
      <w:r>
        <w:rPr>
          <w:rFonts w:asciiTheme="minorHAnsi" w:eastAsia="新細明體" w:hAnsiTheme="minorHAnsi" w:cstheme="minorHAnsi"/>
          <w:iCs/>
          <w:lang w:val="en-US" w:eastAsia="zh-TW"/>
        </w:rPr>
        <w:t xml:space="preserve"> UE is configured with a per-UE NCSG to measure an FR2 inter-frequency layer. In this case, it should be fine to assume there is no mix-numerology issue prohibiting UE to do parallel measurement and data reception. </w:t>
      </w:r>
    </w:p>
    <w:p w14:paraId="72F52A17" w14:textId="631E320B" w:rsidR="00B55AE4" w:rsidRDefault="00B55AE4" w:rsidP="00586B90">
      <w:pPr>
        <w:pStyle w:val="Caption"/>
        <w:jc w:val="both"/>
      </w:pPr>
      <w:bookmarkStart w:id="8" w:name="_Ref110859509"/>
      <w:r>
        <w:t xml:space="preserve">Observation </w:t>
      </w:r>
      <w:r>
        <w:fldChar w:fldCharType="begin"/>
      </w:r>
      <w:r>
        <w:instrText xml:space="preserve"> SEQ Observation \* ARABIC </w:instrText>
      </w:r>
      <w:r>
        <w:fldChar w:fldCharType="separate"/>
      </w:r>
      <w:r w:rsidR="00FF78E1">
        <w:rPr>
          <w:noProof/>
        </w:rPr>
        <w:t>1</w:t>
      </w:r>
      <w:r>
        <w:fldChar w:fldCharType="end"/>
      </w:r>
      <w:r>
        <w:t xml:space="preserve">: Typical UE implementation is to use separate RF chain to receive signals from 2 </w:t>
      </w:r>
      <w:r w:rsidR="00D83A7E">
        <w:t xml:space="preserve">bands. Therefore, </w:t>
      </w:r>
      <w:r w:rsidR="00D83A7E" w:rsidRPr="00D83A7E">
        <w:t>the corresponding sampling rates and FFT window timing can also be different</w:t>
      </w:r>
      <w:r w:rsidR="00D83A7E">
        <w:t>.</w:t>
      </w:r>
      <w:bookmarkEnd w:id="8"/>
    </w:p>
    <w:p w14:paraId="2D258882" w14:textId="13F2C084" w:rsidR="00476EF0" w:rsidRPr="00476EF0" w:rsidRDefault="00476EF0" w:rsidP="00476EF0">
      <w:pPr>
        <w:rPr>
          <w:rFonts w:asciiTheme="minorHAnsi" w:eastAsia="新細明體" w:hAnsiTheme="minorHAnsi" w:cstheme="minorHAnsi"/>
          <w:iCs/>
          <w:lang w:val="en-US" w:eastAsia="zh-TW"/>
        </w:rPr>
      </w:pPr>
    </w:p>
    <w:p w14:paraId="4485DB5B" w14:textId="77777777" w:rsidR="00902E43" w:rsidRDefault="00476EF0" w:rsidP="00476EF0">
      <w:pPr>
        <w:rPr>
          <w:rFonts w:asciiTheme="minorHAnsi" w:eastAsia="新細明體" w:hAnsiTheme="minorHAnsi" w:cstheme="minorHAnsi"/>
          <w:iCs/>
          <w:lang w:val="en-US" w:eastAsia="zh-TW"/>
        </w:rPr>
      </w:pPr>
      <w:proofErr w:type="gramStart"/>
      <w:r>
        <w:rPr>
          <w:rFonts w:asciiTheme="minorHAnsi" w:eastAsia="新細明體" w:hAnsiTheme="minorHAnsi" w:cstheme="minorHAnsi"/>
          <w:iCs/>
          <w:lang w:val="en-US" w:eastAsia="zh-TW"/>
        </w:rPr>
        <w:t>In order to</w:t>
      </w:r>
      <w:proofErr w:type="gramEnd"/>
      <w:r>
        <w:rPr>
          <w:rFonts w:asciiTheme="minorHAnsi" w:eastAsia="新細明體" w:hAnsiTheme="minorHAnsi" w:cstheme="minorHAnsi"/>
          <w:iCs/>
          <w:lang w:val="en-US" w:eastAsia="zh-TW"/>
        </w:rPr>
        <w:t xml:space="preserve"> conclude the open issue, our suggestion is to revise the spec by reusing </w:t>
      </w:r>
      <w:proofErr w:type="spellStart"/>
      <w:r>
        <w:rPr>
          <w:rFonts w:asciiTheme="minorHAnsi" w:eastAsia="新細明體" w:hAnsiTheme="minorHAnsi" w:cstheme="minorHAnsi" w:hint="eastAsia"/>
          <w:iCs/>
          <w:lang w:val="en-US" w:eastAsia="zh-TW"/>
        </w:rPr>
        <w:t>s</w:t>
      </w:r>
      <w:r w:rsidRPr="00476EF0">
        <w:rPr>
          <w:rFonts w:asciiTheme="minorHAnsi" w:eastAsia="新細明體" w:hAnsiTheme="minorHAnsi" w:cstheme="minorHAnsi"/>
          <w:iCs/>
          <w:lang w:val="en-US" w:eastAsia="zh-TW"/>
        </w:rPr>
        <w:t>imultaneousRxDataSSB-DiffNumerology</w:t>
      </w:r>
      <w:proofErr w:type="spellEnd"/>
      <w:r>
        <w:rPr>
          <w:rFonts w:asciiTheme="minorHAnsi" w:eastAsia="新細明體" w:hAnsiTheme="minorHAnsi" w:cstheme="minorHAnsi"/>
          <w:iCs/>
          <w:lang w:val="en-US" w:eastAsia="zh-TW"/>
        </w:rPr>
        <w:t xml:space="preserve"> but only under the condition that the target frequency layer to be measured is in the same with UE’s serving cell(s).</w:t>
      </w:r>
      <w:r w:rsidR="00902E43">
        <w:rPr>
          <w:rFonts w:asciiTheme="minorHAnsi" w:eastAsia="新細明體" w:hAnsiTheme="minorHAnsi" w:cstheme="minorHAnsi"/>
          <w:iCs/>
          <w:lang w:val="en-US" w:eastAsia="zh-TW"/>
        </w:rPr>
        <w:t xml:space="preserve"> </w:t>
      </w:r>
    </w:p>
    <w:p w14:paraId="62D040E6" w14:textId="7C496012" w:rsidR="00476EF0" w:rsidRDefault="00902E43" w:rsidP="003C3AAA">
      <w:pPr>
        <w:jc w:val="both"/>
        <w:rPr>
          <w:rFonts w:asciiTheme="minorHAnsi" w:eastAsia="新細明體" w:hAnsiTheme="minorHAnsi" w:cstheme="minorHAnsi"/>
          <w:iCs/>
          <w:lang w:val="en-US" w:eastAsia="zh-TW"/>
        </w:rPr>
      </w:pPr>
      <w:r>
        <w:rPr>
          <w:rFonts w:asciiTheme="minorHAnsi" w:eastAsia="新細明體" w:hAnsiTheme="minorHAnsi" w:cstheme="minorHAnsi"/>
          <w:iCs/>
          <w:lang w:val="en-US" w:eastAsia="zh-TW"/>
        </w:rPr>
        <w:t xml:space="preserve">One possible alternative is to create a new UE capability dedicated for NCSG. However, in our view, this is not really some new (or extra) UE implementation, but just to re-use the same RF implementation principle to a different scenario. Therefore, we think the additional new UE capability is not necessary. </w:t>
      </w:r>
    </w:p>
    <w:p w14:paraId="56934E31" w14:textId="52A8AC36" w:rsidR="003732E1" w:rsidRPr="00476EF0" w:rsidRDefault="00476EF0" w:rsidP="003732E1">
      <w:pPr>
        <w:pStyle w:val="Caption"/>
        <w:rPr>
          <w:rFonts w:asciiTheme="minorHAnsi" w:eastAsia="新細明體" w:hAnsiTheme="minorHAnsi" w:cstheme="minorHAnsi"/>
          <w:iCs/>
          <w:lang w:eastAsia="zh-TW"/>
        </w:rPr>
      </w:pPr>
      <w:bookmarkStart w:id="9" w:name="_Ref110859512"/>
      <w:r>
        <w:t xml:space="preserve">Proposal </w:t>
      </w:r>
      <w:r>
        <w:fldChar w:fldCharType="begin"/>
      </w:r>
      <w:r>
        <w:instrText xml:space="preserve"> SEQ Proposal \* ARABIC </w:instrText>
      </w:r>
      <w:r>
        <w:fldChar w:fldCharType="separate"/>
      </w:r>
      <w:r w:rsidR="00FF78E1">
        <w:rPr>
          <w:noProof/>
        </w:rPr>
        <w:t>1</w:t>
      </w:r>
      <w:r>
        <w:fldChar w:fldCharType="end"/>
      </w:r>
      <w:r>
        <w:t>: The scheduling restriction requirement for inter-</w:t>
      </w:r>
      <w:proofErr w:type="spellStart"/>
      <w:r>
        <w:t>freq</w:t>
      </w:r>
      <w:proofErr w:type="spellEnd"/>
      <w:r>
        <w:t xml:space="preserve"> measurement with mix-numerology via NCSG is only applicable when the target frequency </w:t>
      </w:r>
      <w:r w:rsidR="00565512">
        <w:t xml:space="preserve">layer </w:t>
      </w:r>
      <w:r>
        <w:t>to be measured is on the same band with UE’s serving cell(s).</w:t>
      </w:r>
      <w:bookmarkEnd w:id="9"/>
    </w:p>
    <w:p w14:paraId="6C2B9713" w14:textId="2110FC48" w:rsidR="003732E1" w:rsidRPr="008B32E1" w:rsidRDefault="003732E1" w:rsidP="003732E1">
      <w:pPr>
        <w:pStyle w:val="Heading1"/>
        <w:numPr>
          <w:ilvl w:val="0"/>
          <w:numId w:val="1"/>
        </w:numPr>
        <w:ind w:hanging="720"/>
        <w:rPr>
          <w:rFonts w:asciiTheme="minorHAnsi" w:eastAsiaTheme="minorEastAsia" w:hAnsiTheme="minorHAnsi" w:cstheme="minorBidi"/>
          <w:b/>
          <w:sz w:val="22"/>
          <w:szCs w:val="22"/>
          <w:lang w:val="en-US" w:eastAsia="zh-TW"/>
        </w:rPr>
      </w:pPr>
      <w:r w:rsidRPr="003732E1">
        <w:rPr>
          <w:rFonts w:asciiTheme="minorHAnsi" w:eastAsiaTheme="minorEastAsia" w:hAnsiTheme="minorHAnsi" w:cstheme="minorBidi"/>
          <w:b/>
          <w:sz w:val="22"/>
          <w:szCs w:val="22"/>
          <w:lang w:val="en-US" w:eastAsia="zh-TW"/>
        </w:rPr>
        <w:t>L1 measurements for the case of intra-</w:t>
      </w:r>
      <w:proofErr w:type="spellStart"/>
      <w:r w:rsidRPr="003732E1">
        <w:rPr>
          <w:rFonts w:asciiTheme="minorHAnsi" w:eastAsiaTheme="minorEastAsia" w:hAnsiTheme="minorHAnsi" w:cstheme="minorBidi"/>
          <w:b/>
          <w:sz w:val="22"/>
          <w:szCs w:val="22"/>
          <w:lang w:val="en-US" w:eastAsia="zh-TW"/>
        </w:rPr>
        <w:t>freq</w:t>
      </w:r>
      <w:proofErr w:type="spellEnd"/>
      <w:r w:rsidRPr="003732E1">
        <w:rPr>
          <w:rFonts w:asciiTheme="minorHAnsi" w:eastAsiaTheme="minorEastAsia" w:hAnsiTheme="minorHAnsi" w:cstheme="minorBidi"/>
          <w:b/>
          <w:sz w:val="22"/>
          <w:szCs w:val="22"/>
          <w:lang w:val="en-US" w:eastAsia="zh-TW"/>
        </w:rPr>
        <w:t xml:space="preserve"> SSB</w:t>
      </w:r>
      <w:r>
        <w:rPr>
          <w:rFonts w:asciiTheme="minorHAnsi" w:eastAsiaTheme="minorEastAsia" w:hAnsiTheme="minorHAnsi" w:cstheme="minorBidi"/>
          <w:b/>
          <w:sz w:val="22"/>
          <w:szCs w:val="22"/>
          <w:lang w:val="en-US" w:eastAsia="zh-TW"/>
        </w:rPr>
        <w:t xml:space="preserve"> not covered by</w:t>
      </w:r>
      <w:r w:rsidRPr="003732E1">
        <w:rPr>
          <w:rFonts w:asciiTheme="minorHAnsi" w:eastAsiaTheme="minorEastAsia" w:hAnsiTheme="minorHAnsi" w:cstheme="minorBidi"/>
          <w:b/>
          <w:sz w:val="22"/>
          <w:szCs w:val="22"/>
          <w:lang w:val="en-US" w:eastAsia="zh-TW"/>
        </w:rPr>
        <w:t xml:space="preserve"> UE’s active BWP</w:t>
      </w:r>
    </w:p>
    <w:p w14:paraId="29F6A2A5" w14:textId="56EACD09" w:rsidR="00F359DD" w:rsidRDefault="00F359DD" w:rsidP="003732E1">
      <w:pPr>
        <w:jc w:val="both"/>
        <w:rPr>
          <w:rFonts w:asciiTheme="minorHAnsi" w:eastAsia="新細明體" w:hAnsiTheme="minorHAnsi" w:cs="Calibri"/>
          <w:color w:val="0D0D0D"/>
          <w:szCs w:val="22"/>
          <w:lang w:eastAsia="zh-TW"/>
        </w:rPr>
      </w:pPr>
      <w:r>
        <w:rPr>
          <w:rFonts w:asciiTheme="minorHAnsi" w:eastAsia="新細明體" w:hAnsiTheme="minorHAnsi" w:cs="Calibri" w:hint="eastAsia"/>
          <w:color w:val="0D0D0D"/>
          <w:szCs w:val="22"/>
          <w:lang w:eastAsia="zh-TW"/>
        </w:rPr>
        <w:t>T</w:t>
      </w:r>
      <w:r>
        <w:rPr>
          <w:rFonts w:asciiTheme="minorHAnsi" w:eastAsia="新細明體" w:hAnsiTheme="minorHAnsi" w:cs="Calibri"/>
          <w:color w:val="0D0D0D"/>
          <w:szCs w:val="22"/>
          <w:lang w:eastAsia="zh-TW"/>
        </w:rPr>
        <w:t>his discussion is motivated by the incoming LS [2] from RAN#96 meeting.</w:t>
      </w:r>
    </w:p>
    <w:p w14:paraId="5F4F959B" w14:textId="4DAF8F18" w:rsidR="003732E1" w:rsidRDefault="00CE52C8" w:rsidP="003732E1">
      <w:p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t>In this WID, the focus is on L3 measurements (e.g., intra-</w:t>
      </w:r>
      <w:proofErr w:type="spellStart"/>
      <w:r>
        <w:rPr>
          <w:rFonts w:asciiTheme="minorHAnsi" w:eastAsia="新細明體" w:hAnsiTheme="minorHAnsi" w:cs="Calibri"/>
          <w:color w:val="0D0D0D"/>
          <w:szCs w:val="22"/>
          <w:lang w:eastAsia="zh-TW"/>
        </w:rPr>
        <w:t>freq</w:t>
      </w:r>
      <w:proofErr w:type="spellEnd"/>
      <w:r>
        <w:rPr>
          <w:rFonts w:asciiTheme="minorHAnsi" w:eastAsia="新細明體" w:hAnsiTheme="minorHAnsi" w:cs="Calibri"/>
          <w:color w:val="0D0D0D"/>
          <w:szCs w:val="22"/>
          <w:lang w:eastAsia="zh-TW"/>
        </w:rPr>
        <w:t>, inter-</w:t>
      </w:r>
      <w:proofErr w:type="spellStart"/>
      <w:r>
        <w:rPr>
          <w:rFonts w:asciiTheme="minorHAnsi" w:eastAsia="新細明體" w:hAnsiTheme="minorHAnsi" w:cs="Calibri"/>
          <w:color w:val="0D0D0D"/>
          <w:szCs w:val="22"/>
          <w:lang w:eastAsia="zh-TW"/>
        </w:rPr>
        <w:t>freq</w:t>
      </w:r>
      <w:proofErr w:type="spellEnd"/>
      <w:r>
        <w:rPr>
          <w:rFonts w:asciiTheme="minorHAnsi" w:eastAsia="新細明體" w:hAnsiTheme="minorHAnsi" w:cs="Calibri"/>
          <w:color w:val="0D0D0D"/>
          <w:szCs w:val="22"/>
          <w:lang w:eastAsia="zh-TW"/>
        </w:rPr>
        <w:t xml:space="preserve"> and inter-RAT measurements). For the case when the intra-frequency SSB is not completely within UE’s active BWP, RAN4 agreed that UE can report whether NCSG can be configured to facilitate the corresponding measurements. The related L3 measurement requirements are finalized already. </w:t>
      </w:r>
      <w:r w:rsidR="003732E1" w:rsidRPr="0078647B" w:rsidDel="00664488">
        <w:rPr>
          <w:rFonts w:asciiTheme="minorHAnsi" w:eastAsia="新細明體" w:hAnsiTheme="minorHAnsi" w:cs="Calibri"/>
          <w:color w:val="0D0D0D"/>
          <w:szCs w:val="22"/>
          <w:lang w:eastAsia="zh-TW"/>
        </w:rPr>
        <w:t xml:space="preserve"> </w:t>
      </w:r>
    </w:p>
    <w:p w14:paraId="65E37E8B" w14:textId="77777777" w:rsidR="00CE52C8" w:rsidRDefault="00CE52C8" w:rsidP="003732E1">
      <w:pPr>
        <w:jc w:val="both"/>
        <w:rPr>
          <w:rFonts w:asciiTheme="minorHAnsi" w:eastAsia="新細明體" w:hAnsiTheme="minorHAnsi" w:cs="Calibri"/>
          <w:color w:val="0D0D0D"/>
          <w:szCs w:val="22"/>
          <w:lang w:eastAsia="zh-TW"/>
        </w:rPr>
      </w:pPr>
      <w:r>
        <w:rPr>
          <w:rFonts w:asciiTheme="minorHAnsi" w:eastAsia="新細明體" w:hAnsiTheme="minorHAnsi" w:cs="Calibri" w:hint="eastAsia"/>
          <w:color w:val="0D0D0D"/>
          <w:szCs w:val="22"/>
          <w:lang w:eastAsia="zh-TW"/>
        </w:rPr>
        <w:t>H</w:t>
      </w:r>
      <w:r>
        <w:rPr>
          <w:rFonts w:asciiTheme="minorHAnsi" w:eastAsia="新細明體" w:hAnsiTheme="minorHAnsi" w:cs="Calibri"/>
          <w:color w:val="0D0D0D"/>
          <w:szCs w:val="22"/>
          <w:lang w:eastAsia="zh-TW"/>
        </w:rPr>
        <w:t>owever, it could happen that both L3 and L1 measurements are based on the same SSB, which is not within UE’s active BWP. In this case, the current spec only addresses the L3 measurement behaviour, while still restricting all L1-RS to be contained within UE’s active BWP. In our understanding, it may be beneficial to discuss how to address the L1 measurement via NCSG because</w:t>
      </w:r>
    </w:p>
    <w:p w14:paraId="3D96B3B7" w14:textId="7D284D46" w:rsidR="00CE52C8" w:rsidRDefault="00354A17" w:rsidP="00CE52C8">
      <w:pPr>
        <w:pStyle w:val="ListParagraph"/>
        <w:numPr>
          <w:ilvl w:val="0"/>
          <w:numId w:val="20"/>
        </w:numPr>
        <w:jc w:val="both"/>
        <w:rPr>
          <w:rFonts w:asciiTheme="minorHAnsi" w:eastAsia="新細明體" w:hAnsiTheme="minorHAnsi" w:cs="Calibri"/>
          <w:color w:val="0D0D0D"/>
          <w:szCs w:val="22"/>
          <w:lang w:eastAsia="zh-TW"/>
        </w:rPr>
      </w:pPr>
      <w:r>
        <w:rPr>
          <w:rFonts w:asciiTheme="minorHAnsi" w:eastAsia="新細明體" w:hAnsiTheme="minorHAnsi" w:cs="Calibri"/>
          <w:color w:val="0D0D0D"/>
          <w:szCs w:val="22"/>
          <w:lang w:eastAsia="zh-TW"/>
        </w:rPr>
        <w:lastRenderedPageBreak/>
        <w:t>To simplify UE’s implementation, it would be good to allow consistent UE behaviour for both L1 and L3 intra-</w:t>
      </w:r>
      <w:proofErr w:type="spellStart"/>
      <w:r>
        <w:rPr>
          <w:rFonts w:asciiTheme="minorHAnsi" w:eastAsia="新細明體" w:hAnsiTheme="minorHAnsi" w:cs="Calibri"/>
          <w:color w:val="0D0D0D"/>
          <w:szCs w:val="22"/>
          <w:lang w:eastAsia="zh-TW"/>
        </w:rPr>
        <w:t>freq</w:t>
      </w:r>
      <w:proofErr w:type="spellEnd"/>
      <w:r>
        <w:rPr>
          <w:rFonts w:asciiTheme="minorHAnsi" w:eastAsia="新細明體" w:hAnsiTheme="minorHAnsi" w:cs="Calibri"/>
          <w:color w:val="0D0D0D"/>
          <w:szCs w:val="22"/>
          <w:lang w:eastAsia="zh-TW"/>
        </w:rPr>
        <w:t xml:space="preserve"> measurements if they are based on the same RS. (E.g., both are measured outside gap or within NCSG.) </w:t>
      </w:r>
      <w:r w:rsidR="00CE52C8">
        <w:rPr>
          <w:rFonts w:asciiTheme="minorHAnsi" w:eastAsia="新細明體" w:hAnsiTheme="minorHAnsi" w:cs="Calibri"/>
          <w:color w:val="0D0D0D"/>
          <w:szCs w:val="22"/>
          <w:lang w:eastAsia="zh-TW"/>
        </w:rPr>
        <w:t xml:space="preserve">As UE already expanded its RF BW to receive SSB for </w:t>
      </w:r>
      <w:r w:rsidR="00E56990">
        <w:rPr>
          <w:rFonts w:asciiTheme="minorHAnsi" w:eastAsia="新細明體" w:hAnsiTheme="minorHAnsi" w:cs="Calibri"/>
          <w:color w:val="0D0D0D"/>
          <w:szCs w:val="22"/>
          <w:lang w:eastAsia="zh-TW"/>
        </w:rPr>
        <w:t>intra-</w:t>
      </w:r>
      <w:proofErr w:type="spellStart"/>
      <w:r w:rsidR="00E56990">
        <w:rPr>
          <w:rFonts w:asciiTheme="minorHAnsi" w:eastAsia="新細明體" w:hAnsiTheme="minorHAnsi" w:cs="Calibri"/>
          <w:color w:val="0D0D0D"/>
          <w:szCs w:val="22"/>
          <w:lang w:eastAsia="zh-TW"/>
        </w:rPr>
        <w:t>freq</w:t>
      </w:r>
      <w:proofErr w:type="spellEnd"/>
      <w:r w:rsidR="00E56990">
        <w:rPr>
          <w:rFonts w:asciiTheme="minorHAnsi" w:eastAsia="新細明體" w:hAnsiTheme="minorHAnsi" w:cs="Calibri"/>
          <w:color w:val="0D0D0D"/>
          <w:szCs w:val="22"/>
          <w:lang w:eastAsia="zh-TW"/>
        </w:rPr>
        <w:t xml:space="preserve"> </w:t>
      </w:r>
      <w:r w:rsidR="00CE52C8">
        <w:rPr>
          <w:rFonts w:asciiTheme="minorHAnsi" w:eastAsia="新細明體" w:hAnsiTheme="minorHAnsi" w:cs="Calibri"/>
          <w:color w:val="0D0D0D"/>
          <w:szCs w:val="22"/>
          <w:lang w:eastAsia="zh-TW"/>
        </w:rPr>
        <w:t xml:space="preserve">L3 measurement, it is very straightforward to perform L1 measurement at the same time at least for FR1 in which we do not need to consider rough/fine beam difference. </w:t>
      </w:r>
    </w:p>
    <w:p w14:paraId="7E65B930" w14:textId="0BBFAC67" w:rsidR="00F359DD" w:rsidRDefault="00F359DD" w:rsidP="00CE52C8">
      <w:pPr>
        <w:pStyle w:val="ListParagraph"/>
        <w:numPr>
          <w:ilvl w:val="0"/>
          <w:numId w:val="20"/>
        </w:numPr>
        <w:jc w:val="both"/>
        <w:rPr>
          <w:rFonts w:asciiTheme="minorHAnsi" w:eastAsia="新細明體" w:hAnsiTheme="minorHAnsi" w:cs="Calibri"/>
          <w:color w:val="0D0D0D"/>
          <w:szCs w:val="22"/>
          <w:lang w:eastAsia="zh-TW"/>
        </w:rPr>
      </w:pPr>
      <w:r>
        <w:rPr>
          <w:rFonts w:asciiTheme="minorHAnsi" w:eastAsia="新細明體" w:hAnsiTheme="minorHAnsi" w:cs="Calibri" w:hint="eastAsia"/>
          <w:color w:val="0D0D0D"/>
          <w:szCs w:val="22"/>
          <w:lang w:eastAsia="zh-TW"/>
        </w:rPr>
        <w:t>E</w:t>
      </w:r>
      <w:r>
        <w:rPr>
          <w:rFonts w:asciiTheme="minorHAnsi" w:eastAsia="新細明體" w:hAnsiTheme="minorHAnsi" w:cs="Calibri"/>
          <w:color w:val="0D0D0D"/>
          <w:szCs w:val="22"/>
          <w:lang w:eastAsia="zh-TW"/>
        </w:rPr>
        <w:t>ven if UE needs to perform measurement on a certain inter-</w:t>
      </w:r>
      <w:proofErr w:type="spellStart"/>
      <w:r>
        <w:rPr>
          <w:rFonts w:asciiTheme="minorHAnsi" w:eastAsia="新細明體" w:hAnsiTheme="minorHAnsi" w:cs="Calibri"/>
          <w:color w:val="0D0D0D"/>
          <w:szCs w:val="22"/>
          <w:lang w:eastAsia="zh-TW"/>
        </w:rPr>
        <w:t>freq</w:t>
      </w:r>
      <w:proofErr w:type="spellEnd"/>
      <w:r>
        <w:rPr>
          <w:rFonts w:asciiTheme="minorHAnsi" w:eastAsia="新細明體" w:hAnsiTheme="minorHAnsi" w:cs="Calibri"/>
          <w:color w:val="0D0D0D"/>
          <w:szCs w:val="22"/>
          <w:lang w:eastAsia="zh-TW"/>
        </w:rPr>
        <w:t xml:space="preserve"> layer during the ML of NCSG, UE can simultaneously perform L1 measurement for its serving cell. This </w:t>
      </w:r>
      <w:r w:rsidR="00E56990">
        <w:rPr>
          <w:rFonts w:asciiTheme="minorHAnsi" w:eastAsia="新細明體" w:hAnsiTheme="minorHAnsi" w:cs="Calibri"/>
          <w:color w:val="0D0D0D"/>
          <w:szCs w:val="22"/>
          <w:lang w:eastAsia="zh-TW"/>
        </w:rPr>
        <w:t xml:space="preserve">requires </w:t>
      </w:r>
      <w:r>
        <w:rPr>
          <w:rFonts w:asciiTheme="minorHAnsi" w:eastAsia="新細明體" w:hAnsiTheme="minorHAnsi" w:cs="Calibri"/>
          <w:color w:val="0D0D0D"/>
          <w:szCs w:val="22"/>
          <w:lang w:eastAsia="zh-TW"/>
        </w:rPr>
        <w:t xml:space="preserve">UE </w:t>
      </w:r>
      <w:r w:rsidR="00E56990">
        <w:rPr>
          <w:rFonts w:asciiTheme="minorHAnsi" w:eastAsia="新細明體" w:hAnsiTheme="minorHAnsi" w:cs="Calibri"/>
          <w:color w:val="0D0D0D"/>
          <w:szCs w:val="22"/>
          <w:lang w:eastAsia="zh-TW"/>
        </w:rPr>
        <w:t>to 1) expand one RF chain for serving cell to cover the SSB and 2) re-tune 1 idle RF chain for inter-</w:t>
      </w:r>
      <w:proofErr w:type="spellStart"/>
      <w:r w:rsidR="00E56990">
        <w:rPr>
          <w:rFonts w:asciiTheme="minorHAnsi" w:eastAsia="新細明體" w:hAnsiTheme="minorHAnsi" w:cs="Calibri"/>
          <w:color w:val="0D0D0D"/>
          <w:szCs w:val="22"/>
          <w:lang w:eastAsia="zh-TW"/>
        </w:rPr>
        <w:t>freq</w:t>
      </w:r>
      <w:proofErr w:type="spellEnd"/>
      <w:r w:rsidR="00E56990">
        <w:rPr>
          <w:rFonts w:asciiTheme="minorHAnsi" w:eastAsia="新細明體" w:hAnsiTheme="minorHAnsi" w:cs="Calibri"/>
          <w:color w:val="0D0D0D"/>
          <w:szCs w:val="22"/>
          <w:lang w:eastAsia="zh-TW"/>
        </w:rPr>
        <w:t xml:space="preserve"> measurement. In our understanding, there should be no feasibility issue in UE implementation </w:t>
      </w:r>
      <w:r>
        <w:rPr>
          <w:rFonts w:asciiTheme="minorHAnsi" w:eastAsia="新細明體" w:hAnsiTheme="minorHAnsi" w:cs="Calibri"/>
          <w:color w:val="0D0D0D"/>
          <w:szCs w:val="22"/>
          <w:lang w:eastAsia="zh-TW"/>
        </w:rPr>
        <w:t xml:space="preserve">because </w:t>
      </w:r>
      <w:r w:rsidR="00E56990">
        <w:rPr>
          <w:rFonts w:asciiTheme="minorHAnsi" w:eastAsia="新細明體" w:hAnsiTheme="minorHAnsi" w:cs="Calibri"/>
          <w:color w:val="0D0D0D"/>
          <w:szCs w:val="22"/>
          <w:lang w:eastAsia="zh-TW"/>
        </w:rPr>
        <w:t xml:space="preserve">VILs are already specified, and </w:t>
      </w:r>
      <w:r>
        <w:rPr>
          <w:rFonts w:asciiTheme="minorHAnsi" w:eastAsia="新細明體" w:hAnsiTheme="minorHAnsi" w:cs="Calibri"/>
          <w:color w:val="0D0D0D"/>
          <w:szCs w:val="22"/>
          <w:lang w:eastAsia="zh-TW"/>
        </w:rPr>
        <w:t>UE should already be able to do parallel inter-</w:t>
      </w:r>
      <w:proofErr w:type="spellStart"/>
      <w:r>
        <w:rPr>
          <w:rFonts w:asciiTheme="minorHAnsi" w:eastAsia="新細明體" w:hAnsiTheme="minorHAnsi" w:cs="Calibri"/>
          <w:color w:val="0D0D0D"/>
          <w:szCs w:val="22"/>
          <w:lang w:eastAsia="zh-TW"/>
        </w:rPr>
        <w:t>freq</w:t>
      </w:r>
      <w:proofErr w:type="spellEnd"/>
      <w:r>
        <w:rPr>
          <w:rFonts w:asciiTheme="minorHAnsi" w:eastAsia="新細明體" w:hAnsiTheme="minorHAnsi" w:cs="Calibri"/>
          <w:color w:val="0D0D0D"/>
          <w:szCs w:val="22"/>
          <w:lang w:eastAsia="zh-TW"/>
        </w:rPr>
        <w:t xml:space="preserve"> measurement and data reception. </w:t>
      </w:r>
    </w:p>
    <w:p w14:paraId="00414734" w14:textId="036991D2" w:rsidR="00E56990" w:rsidRDefault="00E56990" w:rsidP="00E56990">
      <w:pPr>
        <w:pStyle w:val="Caption"/>
        <w:rPr>
          <w:rFonts w:asciiTheme="minorHAnsi" w:eastAsia="新細明體" w:hAnsiTheme="minorHAnsi" w:cs="Calibri"/>
          <w:color w:val="0D0D0D"/>
          <w:szCs w:val="22"/>
          <w:lang w:eastAsia="zh-TW"/>
        </w:rPr>
      </w:pPr>
      <w:bookmarkStart w:id="10" w:name="_Ref110859515"/>
      <w:r>
        <w:t xml:space="preserve">Observation </w:t>
      </w:r>
      <w:r>
        <w:fldChar w:fldCharType="begin"/>
      </w:r>
      <w:r>
        <w:instrText xml:space="preserve"> SEQ Observation \* ARABIC </w:instrText>
      </w:r>
      <w:r>
        <w:fldChar w:fldCharType="separate"/>
      </w:r>
      <w:r w:rsidR="00FF78E1">
        <w:rPr>
          <w:noProof/>
        </w:rPr>
        <w:t>2</w:t>
      </w:r>
      <w:r>
        <w:fldChar w:fldCharType="end"/>
      </w:r>
      <w:r>
        <w:t xml:space="preserve">: </w:t>
      </w:r>
      <w:r w:rsidR="002E0BEC">
        <w:t>For serving cell SSB not completely within UE’s active BWP, a</w:t>
      </w:r>
      <w:r>
        <w:t>llow</w:t>
      </w:r>
      <w:r w:rsidR="002E0BEC">
        <w:t>ing</w:t>
      </w:r>
      <w:r>
        <w:t xml:space="preserve"> UE to measurement SSB for both L1 and L3 measurement</w:t>
      </w:r>
      <w:r w:rsidR="00312CF1">
        <w:t>s</w:t>
      </w:r>
      <w:r>
        <w:t xml:space="preserve"> via NCSG</w:t>
      </w:r>
      <w:r w:rsidR="00322B15">
        <w:t xml:space="preserve"> </w:t>
      </w:r>
      <w:r w:rsidR="00EA2441">
        <w:t xml:space="preserve">seems feasible and </w:t>
      </w:r>
      <w:r w:rsidR="00322B15">
        <w:t>helps simplify UE implementation.</w:t>
      </w:r>
      <w:bookmarkEnd w:id="10"/>
      <w:r w:rsidR="00322B15">
        <w:t xml:space="preserve"> </w:t>
      </w:r>
    </w:p>
    <w:p w14:paraId="43E74B5C" w14:textId="2A7B524B" w:rsidR="00CE52C8" w:rsidRDefault="00E56990" w:rsidP="00CE52C8">
      <w:pPr>
        <w:jc w:val="both"/>
        <w:rPr>
          <w:rFonts w:asciiTheme="minorHAnsi" w:eastAsia="新細明體" w:hAnsiTheme="minorHAnsi" w:cs="Calibri"/>
          <w:color w:val="0D0D0D"/>
          <w:szCs w:val="22"/>
          <w:lang w:eastAsia="zh-TW"/>
        </w:rPr>
      </w:pPr>
      <w:r>
        <w:rPr>
          <w:rFonts w:asciiTheme="minorHAnsi" w:eastAsia="新細明體" w:hAnsiTheme="minorHAnsi" w:cs="Calibri" w:hint="eastAsia"/>
          <w:color w:val="0D0D0D"/>
          <w:szCs w:val="22"/>
          <w:lang w:eastAsia="zh-TW"/>
        </w:rPr>
        <w:t>W</w:t>
      </w:r>
      <w:r>
        <w:rPr>
          <w:rFonts w:asciiTheme="minorHAnsi" w:eastAsia="新細明體" w:hAnsiTheme="minorHAnsi" w:cs="Calibri"/>
          <w:color w:val="0D0D0D"/>
          <w:szCs w:val="22"/>
          <w:lang w:eastAsia="zh-TW"/>
        </w:rPr>
        <w:t xml:space="preserve">ith above consideration, we encourage RAN4 companies to think whether to also </w:t>
      </w:r>
      <w:r w:rsidR="00447EF3">
        <w:rPr>
          <w:rFonts w:asciiTheme="minorHAnsi" w:eastAsia="新細明體" w:hAnsiTheme="minorHAnsi" w:cs="Calibri"/>
          <w:color w:val="0D0D0D"/>
          <w:szCs w:val="22"/>
          <w:lang w:eastAsia="zh-TW"/>
        </w:rPr>
        <w:t>consider</w:t>
      </w:r>
      <w:r>
        <w:rPr>
          <w:rFonts w:asciiTheme="minorHAnsi" w:eastAsia="新細明體" w:hAnsiTheme="minorHAnsi" w:cs="Calibri"/>
          <w:color w:val="0D0D0D"/>
          <w:szCs w:val="22"/>
          <w:lang w:eastAsia="zh-TW"/>
        </w:rPr>
        <w:t xml:space="preserve"> </w:t>
      </w:r>
      <w:r w:rsidR="00447EF3">
        <w:rPr>
          <w:rFonts w:asciiTheme="minorHAnsi" w:eastAsia="新細明體" w:hAnsiTheme="minorHAnsi" w:cs="Calibri"/>
          <w:color w:val="0D0D0D"/>
          <w:szCs w:val="22"/>
          <w:lang w:eastAsia="zh-TW"/>
        </w:rPr>
        <w:t>NCSG-assisted</w:t>
      </w:r>
      <w:r>
        <w:rPr>
          <w:rFonts w:asciiTheme="minorHAnsi" w:eastAsia="新細明體" w:hAnsiTheme="minorHAnsi" w:cs="Calibri"/>
          <w:color w:val="0D0D0D"/>
          <w:szCs w:val="22"/>
          <w:lang w:eastAsia="zh-TW"/>
        </w:rPr>
        <w:t xml:space="preserve"> </w:t>
      </w:r>
      <w:r w:rsidRPr="00E56990">
        <w:rPr>
          <w:rFonts w:asciiTheme="minorHAnsi" w:eastAsia="新細明體" w:hAnsiTheme="minorHAnsi" w:cs="Calibri"/>
          <w:color w:val="0D0D0D"/>
          <w:szCs w:val="22"/>
          <w:lang w:eastAsia="zh-TW"/>
        </w:rPr>
        <w:t xml:space="preserve">L1 measurements for the case </w:t>
      </w:r>
      <w:r w:rsidR="00660612">
        <w:rPr>
          <w:rFonts w:asciiTheme="minorHAnsi" w:eastAsia="新細明體" w:hAnsiTheme="minorHAnsi" w:cs="Calibri"/>
          <w:color w:val="0D0D0D"/>
          <w:szCs w:val="22"/>
          <w:lang w:eastAsia="zh-TW"/>
        </w:rPr>
        <w:t>that</w:t>
      </w:r>
      <w:r w:rsidRPr="00E56990">
        <w:rPr>
          <w:rFonts w:asciiTheme="minorHAnsi" w:eastAsia="新細明體" w:hAnsiTheme="minorHAnsi" w:cs="Calibri"/>
          <w:color w:val="0D0D0D"/>
          <w:szCs w:val="22"/>
          <w:lang w:eastAsia="zh-TW"/>
        </w:rPr>
        <w:t xml:space="preserve"> SSB </w:t>
      </w:r>
      <w:r w:rsidR="00660612">
        <w:rPr>
          <w:rFonts w:asciiTheme="minorHAnsi" w:eastAsia="新細明體" w:hAnsiTheme="minorHAnsi" w:cs="Calibri"/>
          <w:color w:val="0D0D0D"/>
          <w:szCs w:val="22"/>
          <w:lang w:eastAsia="zh-TW"/>
        </w:rPr>
        <w:t xml:space="preserve">for L1 measurements is </w:t>
      </w:r>
      <w:r w:rsidRPr="00E56990">
        <w:rPr>
          <w:rFonts w:asciiTheme="minorHAnsi" w:eastAsia="新細明體" w:hAnsiTheme="minorHAnsi" w:cs="Calibri"/>
          <w:color w:val="0D0D0D"/>
          <w:szCs w:val="22"/>
          <w:lang w:eastAsia="zh-TW"/>
        </w:rPr>
        <w:t>not covered by UE’s active BWP</w:t>
      </w:r>
      <w:r>
        <w:rPr>
          <w:rFonts w:asciiTheme="minorHAnsi" w:eastAsia="新細明體" w:hAnsiTheme="minorHAnsi" w:cs="Calibri"/>
          <w:color w:val="0D0D0D"/>
          <w:szCs w:val="22"/>
          <w:lang w:eastAsia="zh-TW"/>
        </w:rPr>
        <w:t xml:space="preserve"> in the Rel-17 NCSG maintenance work</w:t>
      </w:r>
      <w:r w:rsidR="00AC7FF6">
        <w:rPr>
          <w:rFonts w:asciiTheme="minorHAnsi" w:eastAsia="新細明體" w:hAnsiTheme="minorHAnsi" w:cs="Calibri"/>
          <w:color w:val="0D0D0D"/>
          <w:szCs w:val="22"/>
          <w:lang w:eastAsia="zh-TW"/>
        </w:rPr>
        <w:t xml:space="preserve"> or in Rel-18</w:t>
      </w:r>
      <w:r>
        <w:rPr>
          <w:rFonts w:asciiTheme="minorHAnsi" w:eastAsia="新細明體" w:hAnsiTheme="minorHAnsi" w:cs="Calibri"/>
          <w:color w:val="0D0D0D"/>
          <w:szCs w:val="22"/>
          <w:lang w:eastAsia="zh-TW"/>
        </w:rPr>
        <w:t>.</w:t>
      </w:r>
    </w:p>
    <w:p w14:paraId="7EC4BA0F" w14:textId="2BC8597D" w:rsidR="00476EF0" w:rsidRPr="003732E1" w:rsidRDefault="00E56990" w:rsidP="00476EF0">
      <w:pPr>
        <w:pStyle w:val="Caption"/>
        <w:rPr>
          <w:rFonts w:asciiTheme="minorHAnsi" w:eastAsia="新細明體" w:hAnsiTheme="minorHAnsi" w:cstheme="minorHAnsi"/>
          <w:iCs/>
          <w:lang w:eastAsia="zh-TW"/>
        </w:rPr>
      </w:pPr>
      <w:bookmarkStart w:id="11" w:name="_Ref110859520"/>
      <w:r>
        <w:t xml:space="preserve">Proposal </w:t>
      </w:r>
      <w:r>
        <w:fldChar w:fldCharType="begin"/>
      </w:r>
      <w:r>
        <w:instrText xml:space="preserve"> SEQ Proposal \* ARABIC </w:instrText>
      </w:r>
      <w:r>
        <w:fldChar w:fldCharType="separate"/>
      </w:r>
      <w:r w:rsidR="00FF78E1">
        <w:rPr>
          <w:noProof/>
        </w:rPr>
        <w:t>2</w:t>
      </w:r>
      <w:r>
        <w:fldChar w:fldCharType="end"/>
      </w:r>
      <w:r w:rsidR="00447EF3">
        <w:t>:</w:t>
      </w:r>
      <w:r w:rsidR="00447EF3" w:rsidRPr="00447EF3">
        <w:rPr>
          <w:rFonts w:hint="eastAsia"/>
        </w:rPr>
        <w:t xml:space="preserve"> </w:t>
      </w:r>
      <w:r w:rsidR="00447EF3" w:rsidRPr="00447EF3">
        <w:t>RAN4 to</w:t>
      </w:r>
      <w:r w:rsidR="00447EF3">
        <w:t xml:space="preserve"> discuss whether to </w:t>
      </w:r>
      <w:r w:rsidR="00447EF3" w:rsidRPr="00447EF3">
        <w:t>consider NCSG-assisted L1 measurements for the case</w:t>
      </w:r>
      <w:r w:rsidR="00660612">
        <w:t xml:space="preserve"> that </w:t>
      </w:r>
      <w:r w:rsidR="00447EF3" w:rsidRPr="00447EF3">
        <w:t xml:space="preserve">SSB </w:t>
      </w:r>
      <w:r w:rsidR="00660612" w:rsidRPr="00660612">
        <w:t xml:space="preserve">for L1 measurements </w:t>
      </w:r>
      <w:r w:rsidR="00447EF3" w:rsidRPr="00447EF3">
        <w:t>not covered by UE’s active BWP in the Rel-17 NCSG maintenance work</w:t>
      </w:r>
      <w:r w:rsidR="00AC7FF6">
        <w:t xml:space="preserve"> or in Rel-18</w:t>
      </w:r>
      <w:r w:rsidR="00447EF3" w:rsidRPr="00447EF3">
        <w:t>.</w:t>
      </w:r>
      <w:bookmarkEnd w:id="11"/>
      <w:r w:rsidR="0068799E">
        <w:t xml:space="preserve"> </w:t>
      </w:r>
    </w:p>
    <w:bookmarkEnd w:id="6"/>
    <w:bookmarkEnd w:id="7"/>
    <w:p w14:paraId="70468314" w14:textId="77777777"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14:paraId="5C1F7845" w14:textId="0F7FEA6A" w:rsidR="00664488" w:rsidRDefault="00085372" w:rsidP="00664488">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BF470E" w:rsidRPr="0078647B">
        <w:rPr>
          <w:rFonts w:asciiTheme="minorHAnsi" w:eastAsia="新細明體" w:hAnsiTheme="minorHAnsi" w:cs="Calibri"/>
          <w:color w:val="0D0D0D"/>
          <w:szCs w:val="22"/>
          <w:lang w:eastAsia="zh-TW"/>
        </w:rPr>
        <w:t xml:space="preserve">we discuss </w:t>
      </w:r>
      <w:r w:rsidR="00864962" w:rsidRPr="0078647B">
        <w:rPr>
          <w:rFonts w:asciiTheme="minorHAnsi" w:eastAsia="新細明體" w:hAnsiTheme="minorHAnsi" w:cs="Calibri"/>
          <w:color w:val="0D0D0D"/>
          <w:szCs w:val="22"/>
          <w:lang w:eastAsia="zh-TW"/>
        </w:rPr>
        <w:t xml:space="preserve">the issues </w:t>
      </w:r>
      <w:r w:rsidR="00EA2A7C" w:rsidRPr="0078647B">
        <w:rPr>
          <w:rFonts w:asciiTheme="minorHAnsi" w:hAnsiTheme="minorHAnsi"/>
          <w:szCs w:val="22"/>
          <w:lang w:eastAsia="zh-TW"/>
        </w:rPr>
        <w:t xml:space="preserve">for </w:t>
      </w:r>
      <w:r w:rsidR="00CD7FE9">
        <w:rPr>
          <w:rFonts w:asciiTheme="minorHAnsi" w:hAnsiTheme="minorHAnsi"/>
          <w:szCs w:val="22"/>
          <w:lang w:eastAsia="zh-TW"/>
        </w:rPr>
        <w:t>NCSG</w:t>
      </w:r>
      <w:r w:rsidR="005D0611" w:rsidRPr="0078647B">
        <w:rPr>
          <w:rFonts w:asciiTheme="minorHAnsi" w:eastAsia="新細明體" w:hAnsiTheme="minorHAnsi" w:cs="Calibri"/>
          <w:color w:val="0D0D0D"/>
          <w:szCs w:val="22"/>
          <w:lang w:eastAsia="zh-TW"/>
        </w:rPr>
        <w:t>.</w:t>
      </w:r>
      <w:r w:rsidR="004A6C76" w:rsidRPr="0078647B">
        <w:rPr>
          <w:rFonts w:asciiTheme="minorHAnsi" w:eastAsia="新細明體" w:hAnsiTheme="minorHAnsi" w:cs="Calibri"/>
          <w:color w:val="0D0D0D"/>
          <w:szCs w:val="22"/>
          <w:lang w:eastAsia="zh-TW"/>
        </w:rPr>
        <w:t xml:space="preserve"> </w:t>
      </w:r>
      <w:r w:rsidR="00DB16B2" w:rsidRPr="0078647B">
        <w:rPr>
          <w:rFonts w:asciiTheme="minorHAnsi" w:eastAsia="新細明體" w:hAnsiTheme="minorHAnsi" w:cs="Calibri"/>
          <w:color w:val="0D0D0D"/>
          <w:szCs w:val="22"/>
          <w:lang w:eastAsia="zh-TW"/>
        </w:rPr>
        <w:t>We have the follo</w:t>
      </w:r>
      <w:r w:rsidR="004A6C76" w:rsidRPr="0078647B">
        <w:rPr>
          <w:rFonts w:asciiTheme="minorHAnsi" w:eastAsia="新細明體" w:hAnsiTheme="minorHAnsi" w:cs="Calibri"/>
          <w:color w:val="0D0D0D"/>
          <w:szCs w:val="22"/>
          <w:lang w:eastAsia="zh-TW"/>
        </w:rPr>
        <w:t>wing proposal:</w:t>
      </w:r>
      <w:r w:rsidR="00664488" w:rsidRPr="0078647B" w:rsidDel="00664488">
        <w:rPr>
          <w:rFonts w:asciiTheme="minorHAnsi" w:eastAsia="新細明體" w:hAnsiTheme="minorHAnsi" w:cs="Calibri"/>
          <w:color w:val="0D0D0D"/>
          <w:szCs w:val="22"/>
          <w:lang w:eastAsia="zh-TW"/>
        </w:rPr>
        <w:t xml:space="preserve"> </w:t>
      </w:r>
    </w:p>
    <w:p w14:paraId="124DCC7A" w14:textId="0A493206" w:rsidR="00C55F4B" w:rsidRPr="00C55F4B" w:rsidRDefault="00C55F4B" w:rsidP="00664488">
      <w:pPr>
        <w:jc w:val="both"/>
        <w:rPr>
          <w:rFonts w:eastAsia="SimSun"/>
          <w:b/>
        </w:rPr>
      </w:pPr>
      <w:r w:rsidRPr="00C55F4B">
        <w:rPr>
          <w:rFonts w:eastAsia="SimSun"/>
          <w:b/>
        </w:rPr>
        <w:fldChar w:fldCharType="begin"/>
      </w:r>
      <w:r w:rsidRPr="00C55F4B">
        <w:rPr>
          <w:rFonts w:eastAsia="SimSun"/>
          <w:b/>
        </w:rPr>
        <w:instrText xml:space="preserve"> REF _Ref110859509 \h </w:instrText>
      </w:r>
      <w:r>
        <w:rPr>
          <w:rFonts w:eastAsia="SimSun"/>
          <w:b/>
        </w:rPr>
        <w:instrText xml:space="preserve"> \* MERGEFORMAT </w:instrText>
      </w:r>
      <w:r w:rsidRPr="00C55F4B">
        <w:rPr>
          <w:rFonts w:eastAsia="SimSun"/>
          <w:b/>
        </w:rPr>
      </w:r>
      <w:r w:rsidRPr="00C55F4B">
        <w:rPr>
          <w:rFonts w:eastAsia="SimSun"/>
          <w:b/>
        </w:rPr>
        <w:fldChar w:fldCharType="separate"/>
      </w:r>
      <w:r w:rsidR="00FF78E1" w:rsidRPr="00FF78E1">
        <w:rPr>
          <w:rFonts w:eastAsia="SimSun"/>
          <w:b/>
        </w:rPr>
        <w:t>Observation 1: Typical UE implementation is to use separate RF chain to receive signals from 2 bands. Therefore, the corresponding sampling rates and FFT window timing can also be different.</w:t>
      </w:r>
      <w:r w:rsidRPr="00C55F4B">
        <w:rPr>
          <w:rFonts w:eastAsia="SimSun"/>
          <w:b/>
        </w:rPr>
        <w:fldChar w:fldCharType="end"/>
      </w:r>
    </w:p>
    <w:p w14:paraId="1398E52D" w14:textId="582FBD86" w:rsidR="00C55F4B" w:rsidRPr="00C55F4B" w:rsidRDefault="00C55F4B" w:rsidP="00664488">
      <w:pPr>
        <w:jc w:val="both"/>
        <w:rPr>
          <w:rFonts w:eastAsia="SimSun"/>
          <w:b/>
        </w:rPr>
      </w:pPr>
      <w:r w:rsidRPr="00C55F4B">
        <w:rPr>
          <w:rFonts w:eastAsia="SimSun"/>
          <w:b/>
        </w:rPr>
        <w:fldChar w:fldCharType="begin"/>
      </w:r>
      <w:r w:rsidRPr="00C55F4B">
        <w:rPr>
          <w:rFonts w:eastAsia="SimSun"/>
          <w:b/>
        </w:rPr>
        <w:instrText xml:space="preserve"> REF _Ref110859512 \h </w:instrText>
      </w:r>
      <w:r>
        <w:rPr>
          <w:rFonts w:eastAsia="SimSun"/>
          <w:b/>
        </w:rPr>
        <w:instrText xml:space="preserve"> \* MERGEFORMAT </w:instrText>
      </w:r>
      <w:r w:rsidRPr="00C55F4B">
        <w:rPr>
          <w:rFonts w:eastAsia="SimSun"/>
          <w:b/>
        </w:rPr>
      </w:r>
      <w:r w:rsidRPr="00C55F4B">
        <w:rPr>
          <w:rFonts w:eastAsia="SimSun"/>
          <w:b/>
        </w:rPr>
        <w:fldChar w:fldCharType="separate"/>
      </w:r>
      <w:r w:rsidR="00FF78E1" w:rsidRPr="00FF78E1">
        <w:rPr>
          <w:rFonts w:eastAsia="SimSun"/>
          <w:b/>
        </w:rPr>
        <w:t>Proposal 1: The scheduling restriction requirement for inter-</w:t>
      </w:r>
      <w:proofErr w:type="spellStart"/>
      <w:r w:rsidR="00FF78E1" w:rsidRPr="00FF78E1">
        <w:rPr>
          <w:rFonts w:eastAsia="SimSun"/>
          <w:b/>
        </w:rPr>
        <w:t>freq</w:t>
      </w:r>
      <w:proofErr w:type="spellEnd"/>
      <w:r w:rsidR="00FF78E1" w:rsidRPr="00FF78E1">
        <w:rPr>
          <w:rFonts w:eastAsia="SimSun"/>
          <w:b/>
        </w:rPr>
        <w:t xml:space="preserve"> measurement with mix-numerology via NCSG is only applicable when the target frequency layer to be measured is on the same band with UE’s serving cell(s</w:t>
      </w:r>
      <w:r w:rsidR="00FF78E1">
        <w:t>).</w:t>
      </w:r>
      <w:r w:rsidRPr="00C55F4B">
        <w:rPr>
          <w:rFonts w:eastAsia="SimSun"/>
          <w:b/>
        </w:rPr>
        <w:fldChar w:fldCharType="end"/>
      </w:r>
    </w:p>
    <w:p w14:paraId="77411ABB" w14:textId="209DBE54" w:rsidR="00C55F4B" w:rsidRPr="00C55F4B" w:rsidRDefault="00C55F4B" w:rsidP="00664488">
      <w:pPr>
        <w:jc w:val="both"/>
        <w:rPr>
          <w:rFonts w:eastAsia="SimSun"/>
          <w:b/>
        </w:rPr>
      </w:pPr>
      <w:r w:rsidRPr="00C55F4B">
        <w:rPr>
          <w:rFonts w:eastAsia="SimSun"/>
          <w:b/>
        </w:rPr>
        <w:fldChar w:fldCharType="begin"/>
      </w:r>
      <w:r w:rsidRPr="00C55F4B">
        <w:rPr>
          <w:rFonts w:eastAsia="SimSun"/>
          <w:b/>
        </w:rPr>
        <w:instrText xml:space="preserve"> REF _Ref110859515 \h </w:instrText>
      </w:r>
      <w:r>
        <w:rPr>
          <w:rFonts w:eastAsia="SimSun"/>
          <w:b/>
        </w:rPr>
        <w:instrText xml:space="preserve"> \* MERGEFORMAT </w:instrText>
      </w:r>
      <w:r w:rsidRPr="00C55F4B">
        <w:rPr>
          <w:rFonts w:eastAsia="SimSun"/>
          <w:b/>
        </w:rPr>
      </w:r>
      <w:r w:rsidRPr="00C55F4B">
        <w:rPr>
          <w:rFonts w:eastAsia="SimSun"/>
          <w:b/>
        </w:rPr>
        <w:fldChar w:fldCharType="separate"/>
      </w:r>
      <w:r w:rsidR="00FF78E1" w:rsidRPr="00FF78E1">
        <w:rPr>
          <w:rFonts w:eastAsia="SimSun"/>
          <w:b/>
        </w:rPr>
        <w:t>Observation 2: For serving cell SSB not completely within UE’s active BWP, allowing UE to measurement SSB for both L1 and L3 measurements via NCSG seems feasible and helps simplify UE implementation.</w:t>
      </w:r>
      <w:r w:rsidRPr="00C55F4B">
        <w:rPr>
          <w:rFonts w:eastAsia="SimSun"/>
          <w:b/>
        </w:rPr>
        <w:fldChar w:fldCharType="end"/>
      </w:r>
    </w:p>
    <w:p w14:paraId="3950AC24" w14:textId="7AF42B00" w:rsidR="002508A5" w:rsidRPr="00C55F4B" w:rsidRDefault="00C55F4B" w:rsidP="00664488">
      <w:pPr>
        <w:jc w:val="both"/>
        <w:rPr>
          <w:rFonts w:eastAsia="SimSun"/>
          <w:b/>
        </w:rPr>
      </w:pPr>
      <w:r w:rsidRPr="00C55F4B">
        <w:rPr>
          <w:rFonts w:eastAsia="SimSun"/>
          <w:b/>
        </w:rPr>
        <w:fldChar w:fldCharType="begin"/>
      </w:r>
      <w:r w:rsidRPr="00C55F4B">
        <w:rPr>
          <w:rFonts w:eastAsia="SimSun"/>
          <w:b/>
        </w:rPr>
        <w:instrText xml:space="preserve"> REF _Ref110859520 \h </w:instrText>
      </w:r>
      <w:r>
        <w:rPr>
          <w:rFonts w:eastAsia="SimSun"/>
          <w:b/>
        </w:rPr>
        <w:instrText xml:space="preserve"> \* MERGEFORMAT </w:instrText>
      </w:r>
      <w:r w:rsidRPr="00C55F4B">
        <w:rPr>
          <w:rFonts w:eastAsia="SimSun"/>
          <w:b/>
        </w:rPr>
      </w:r>
      <w:r w:rsidRPr="00C55F4B">
        <w:rPr>
          <w:rFonts w:eastAsia="SimSun"/>
          <w:b/>
        </w:rPr>
        <w:fldChar w:fldCharType="separate"/>
      </w:r>
      <w:r w:rsidR="00FF78E1" w:rsidRPr="00FF78E1">
        <w:rPr>
          <w:rFonts w:eastAsia="SimSun"/>
          <w:b/>
        </w:rPr>
        <w:t>Proposal 2:</w:t>
      </w:r>
      <w:r w:rsidR="00FF78E1" w:rsidRPr="00FF78E1">
        <w:rPr>
          <w:rFonts w:eastAsia="SimSun" w:hint="eastAsia"/>
          <w:b/>
        </w:rPr>
        <w:t xml:space="preserve"> </w:t>
      </w:r>
      <w:r w:rsidR="00FF78E1" w:rsidRPr="00FF78E1">
        <w:rPr>
          <w:rFonts w:eastAsia="SimSun"/>
          <w:b/>
        </w:rPr>
        <w:t xml:space="preserve">RAN4 to discuss whether to consider NCSG-assisted L1 measurements for the case that SSB </w:t>
      </w:r>
      <w:r w:rsidR="00FF78E1" w:rsidRPr="00FF78E1">
        <w:rPr>
          <w:rFonts w:eastAsia="SimSun"/>
          <w:b/>
        </w:rPr>
        <w:t xml:space="preserve">for L1 measurements </w:t>
      </w:r>
      <w:r w:rsidR="00FF78E1" w:rsidRPr="00FF78E1">
        <w:rPr>
          <w:rFonts w:eastAsia="SimSun"/>
          <w:b/>
        </w:rPr>
        <w:t xml:space="preserve">not covered by UE’s active BWP in the Rel-17 NCSG </w:t>
      </w:r>
      <w:r w:rsidR="00FF78E1" w:rsidRPr="00447EF3">
        <w:t>maintenance work</w:t>
      </w:r>
      <w:r w:rsidR="00FF78E1">
        <w:t xml:space="preserve"> or in Rel-18</w:t>
      </w:r>
      <w:r w:rsidR="00FF78E1" w:rsidRPr="00447EF3">
        <w:t>.</w:t>
      </w:r>
      <w:r w:rsidRPr="00C55F4B">
        <w:rPr>
          <w:rFonts w:eastAsia="SimSun"/>
          <w:b/>
        </w:rPr>
        <w:fldChar w:fldCharType="end"/>
      </w:r>
    </w:p>
    <w:p w14:paraId="2FCD0276" w14:textId="77777777"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14:paraId="5EE08649" w14:textId="178208B2" w:rsidR="003E3353" w:rsidRDefault="008C7FE0" w:rsidP="00F61F47">
      <w:pPr>
        <w:jc w:val="both"/>
        <w:rPr>
          <w:rFonts w:asciiTheme="minorHAnsi" w:hAnsiTheme="minorHAnsi" w:cstheme="minorHAnsi"/>
        </w:rPr>
      </w:pPr>
      <w:r w:rsidRPr="00726521">
        <w:rPr>
          <w:rFonts w:asciiTheme="minorHAnsi" w:hAnsiTheme="minorHAnsi" w:cstheme="minorHAnsi"/>
        </w:rPr>
        <w:t xml:space="preserve">[1] </w:t>
      </w:r>
      <w:r w:rsidR="003E3353" w:rsidRPr="003E3353">
        <w:rPr>
          <w:rFonts w:asciiTheme="minorHAnsi" w:hAnsiTheme="minorHAnsi" w:cstheme="minorHAnsi"/>
        </w:rPr>
        <w:t>R4-</w:t>
      </w:r>
      <w:r w:rsidR="007F7A52" w:rsidRPr="007F7A52">
        <w:rPr>
          <w:rFonts w:asciiTheme="minorHAnsi" w:hAnsiTheme="minorHAnsi" w:cstheme="minorHAnsi"/>
        </w:rPr>
        <w:t>220</w:t>
      </w:r>
      <w:r w:rsidR="007C6716">
        <w:rPr>
          <w:rFonts w:asciiTheme="minorHAnsi" w:hAnsiTheme="minorHAnsi" w:cstheme="minorHAnsi"/>
        </w:rPr>
        <w:t>8358</w:t>
      </w:r>
      <w:r w:rsidRPr="008C7FE0">
        <w:rPr>
          <w:rFonts w:asciiTheme="minorHAnsi" w:hAnsiTheme="minorHAnsi" w:cstheme="minorHAnsi"/>
        </w:rPr>
        <w:t>, “</w:t>
      </w:r>
      <w:r w:rsidR="007C6716" w:rsidRPr="007C6716">
        <w:rPr>
          <w:rFonts w:asciiTheme="minorHAnsi" w:hAnsiTheme="minorHAnsi" w:cstheme="minorHAnsi"/>
        </w:rPr>
        <w:t>CR to maintain measurements with NCSG in TS 38.133</w:t>
      </w:r>
      <w:r w:rsidRPr="008C7FE0">
        <w:rPr>
          <w:rFonts w:asciiTheme="minorHAnsi" w:hAnsiTheme="minorHAnsi" w:cstheme="minorHAnsi"/>
        </w:rPr>
        <w:t xml:space="preserve">”, </w:t>
      </w:r>
      <w:r w:rsidR="007C6716">
        <w:rPr>
          <w:rFonts w:asciiTheme="minorHAnsi" w:hAnsiTheme="minorHAnsi" w:cstheme="minorHAnsi"/>
        </w:rPr>
        <w:t>OPPO</w:t>
      </w:r>
      <w:r w:rsidR="00D5141E">
        <w:rPr>
          <w:rFonts w:asciiTheme="minorHAnsi" w:hAnsiTheme="minorHAnsi" w:cstheme="minorHAnsi"/>
        </w:rPr>
        <w:t xml:space="preserve"> </w:t>
      </w:r>
    </w:p>
    <w:p w14:paraId="72946549" w14:textId="410F49AA" w:rsidR="00F359DD" w:rsidRPr="00F359DD" w:rsidRDefault="00F359DD" w:rsidP="00F359DD">
      <w:pPr>
        <w:rPr>
          <w:rFonts w:asciiTheme="minorHAnsi" w:eastAsia="新細明體" w:hAnsiTheme="minorHAnsi" w:cstheme="minorHAnsi"/>
          <w:lang w:val="en-US" w:eastAsia="zh-TW"/>
        </w:rPr>
      </w:pPr>
      <w:r>
        <w:rPr>
          <w:rFonts w:asciiTheme="minorHAnsi" w:eastAsia="新細明體" w:hAnsiTheme="minorHAnsi" w:cstheme="minorHAnsi" w:hint="eastAsia"/>
          <w:lang w:eastAsia="zh-TW"/>
        </w:rPr>
        <w:t>[</w:t>
      </w:r>
      <w:r>
        <w:rPr>
          <w:rFonts w:asciiTheme="minorHAnsi" w:eastAsia="新細明體" w:hAnsiTheme="minorHAnsi" w:cstheme="minorHAnsi"/>
          <w:lang w:eastAsia="zh-TW"/>
        </w:rPr>
        <w:t xml:space="preserve">2] </w:t>
      </w:r>
      <w:r w:rsidRPr="00F359DD">
        <w:rPr>
          <w:rFonts w:asciiTheme="minorHAnsi" w:eastAsia="新細明體" w:hAnsiTheme="minorHAnsi" w:cstheme="minorHAnsi"/>
          <w:lang w:eastAsia="zh-TW"/>
        </w:rPr>
        <w:t>RP-221870</w:t>
      </w:r>
      <w:r>
        <w:rPr>
          <w:rFonts w:asciiTheme="minorHAnsi" w:eastAsia="新細明體" w:hAnsiTheme="minorHAnsi" w:cstheme="minorHAnsi"/>
          <w:lang w:eastAsia="zh-TW"/>
        </w:rPr>
        <w:t>, “</w:t>
      </w:r>
      <w:r w:rsidRPr="00F359DD">
        <w:rPr>
          <w:rFonts w:asciiTheme="minorHAnsi" w:eastAsia="新細明體" w:hAnsiTheme="minorHAnsi" w:cstheme="minorHAnsi"/>
          <w:lang w:eastAsia="zh-TW"/>
        </w:rPr>
        <w:t>NCD-SSB for all devices:</w:t>
      </w:r>
      <w:r>
        <w:rPr>
          <w:rFonts w:asciiTheme="minorHAnsi" w:eastAsia="新細明體" w:hAnsiTheme="minorHAnsi" w:cstheme="minorHAnsi"/>
          <w:lang w:eastAsia="zh-TW"/>
        </w:rPr>
        <w:t xml:space="preserve"> </w:t>
      </w:r>
      <w:r w:rsidRPr="00F359DD">
        <w:rPr>
          <w:rFonts w:asciiTheme="minorHAnsi" w:eastAsia="新細明體" w:hAnsiTheme="minorHAnsi" w:cstheme="minorHAnsi"/>
          <w:lang w:eastAsia="zh-TW"/>
        </w:rPr>
        <w:t>proposed Way Forward</w:t>
      </w:r>
      <w:r>
        <w:rPr>
          <w:rFonts w:asciiTheme="minorHAnsi" w:eastAsia="新細明體" w:hAnsiTheme="minorHAnsi" w:cstheme="minorHAnsi"/>
          <w:lang w:eastAsia="zh-TW"/>
        </w:rPr>
        <w:t>”, Vodaphone</w:t>
      </w:r>
    </w:p>
    <w:sectPr w:rsidR="00F359DD" w:rsidRPr="00F359DD"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7D9FF" w14:textId="77777777" w:rsidR="002940DD" w:rsidRDefault="002940DD" w:rsidP="008B46F2">
      <w:pPr>
        <w:spacing w:after="0"/>
      </w:pPr>
      <w:r>
        <w:separator/>
      </w:r>
    </w:p>
  </w:endnote>
  <w:endnote w:type="continuationSeparator" w:id="0">
    <w:p w14:paraId="264A1B3C" w14:textId="77777777" w:rsidR="002940DD" w:rsidRDefault="002940DD"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57DBC" w14:textId="77777777" w:rsidR="002940DD" w:rsidRDefault="002940DD" w:rsidP="008B46F2">
      <w:pPr>
        <w:spacing w:after="0"/>
      </w:pPr>
      <w:r>
        <w:separator/>
      </w:r>
    </w:p>
  </w:footnote>
  <w:footnote w:type="continuationSeparator" w:id="0">
    <w:p w14:paraId="0AC790F8" w14:textId="77777777" w:rsidR="002940DD" w:rsidRDefault="002940DD"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6031C"/>
    <w:multiLevelType w:val="hybridMultilevel"/>
    <w:tmpl w:val="E0047ED4"/>
    <w:lvl w:ilvl="0" w:tplc="04090005">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72D06DC"/>
    <w:multiLevelType w:val="hybridMultilevel"/>
    <w:tmpl w:val="9BFA2F70"/>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BC3066"/>
    <w:multiLevelType w:val="hybridMultilevel"/>
    <w:tmpl w:val="C6B2546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B2360FA"/>
    <w:multiLevelType w:val="hybridMultilevel"/>
    <w:tmpl w:val="3B10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150D37AA"/>
    <w:multiLevelType w:val="hybridMultilevel"/>
    <w:tmpl w:val="CD5CD642"/>
    <w:lvl w:ilvl="0" w:tplc="04090005">
      <w:start w:val="1"/>
      <w:numFmt w:val="bullet"/>
      <w:lvlText w:val=""/>
      <w:lvlJc w:val="left"/>
      <w:pPr>
        <w:ind w:left="1200" w:hanging="480"/>
      </w:pPr>
      <w:rPr>
        <w:rFonts w:ascii="Wingdings" w:hAnsi="Wingdings" w:hint="default"/>
      </w:rPr>
    </w:lvl>
    <w:lvl w:ilvl="1" w:tplc="04090011">
      <w:start w:val="1"/>
      <w:numFmt w:val="decimal"/>
      <w:lvlText w:val="%2)"/>
      <w:lvlJc w:val="left"/>
      <w:pPr>
        <w:ind w:left="1680" w:hanging="480"/>
      </w:pPr>
      <w:rPr>
        <w:rFont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27650DEE"/>
    <w:multiLevelType w:val="hybridMultilevel"/>
    <w:tmpl w:val="39664DD2"/>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394F38A9"/>
    <w:multiLevelType w:val="hybridMultilevel"/>
    <w:tmpl w:val="345E50D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F0A1E27"/>
    <w:multiLevelType w:val="hybridMultilevel"/>
    <w:tmpl w:val="E52EBA7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1" w15:restartNumberingAfterBreak="0">
    <w:nsid w:val="47084FD8"/>
    <w:multiLevelType w:val="hybridMultilevel"/>
    <w:tmpl w:val="887219B8"/>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CA26B15"/>
    <w:multiLevelType w:val="hybridMultilevel"/>
    <w:tmpl w:val="C5B092E6"/>
    <w:lvl w:ilvl="0" w:tplc="04090011">
      <w:start w:val="1"/>
      <w:numFmt w:val="decimal"/>
      <w:lvlText w:val="%1)"/>
      <w:lvlJc w:val="left"/>
      <w:pPr>
        <w:ind w:left="1200" w:hanging="480"/>
      </w:pPr>
      <w:rPr>
        <w:rFont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63796D48"/>
    <w:multiLevelType w:val="hybridMultilevel"/>
    <w:tmpl w:val="5EAA215E"/>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912"/>
        </w:tabs>
        <w:ind w:left="891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17" w15:restartNumberingAfterBreak="0">
    <w:nsid w:val="70971433"/>
    <w:multiLevelType w:val="hybridMultilevel"/>
    <w:tmpl w:val="38C8C85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750646B4"/>
    <w:multiLevelType w:val="hybridMultilevel"/>
    <w:tmpl w:val="55D09E5C"/>
    <w:lvl w:ilvl="0" w:tplc="04090005">
      <w:start w:val="1"/>
      <w:numFmt w:val="bullet"/>
      <w:lvlText w:val=""/>
      <w:lvlJc w:val="left"/>
      <w:pPr>
        <w:ind w:left="1200" w:hanging="480"/>
      </w:pPr>
      <w:rPr>
        <w:rFonts w:ascii="Wingdings" w:hAnsi="Wingdings" w:hint="default"/>
      </w:rPr>
    </w:lvl>
    <w:lvl w:ilvl="1" w:tplc="DD56BEB8">
      <w:start w:val="2"/>
      <w:numFmt w:val="bullet"/>
      <w:lvlText w:val="-"/>
      <w:lvlJc w:val="left"/>
      <w:pPr>
        <w:ind w:left="1680" w:hanging="480"/>
      </w:pPr>
      <w:rPr>
        <w:rFonts w:ascii="Calibri" w:eastAsia="Calibri" w:hAnsi="Calibri"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783D0999"/>
    <w:multiLevelType w:val="hybridMultilevel"/>
    <w:tmpl w:val="D0C488B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4"/>
  </w:num>
  <w:num w:numId="2">
    <w:abstractNumId w:val="3"/>
  </w:num>
  <w:num w:numId="3">
    <w:abstractNumId w:val="12"/>
  </w:num>
  <w:num w:numId="4">
    <w:abstractNumId w:val="15"/>
  </w:num>
  <w:num w:numId="5">
    <w:abstractNumId w:val="2"/>
  </w:num>
  <w:num w:numId="6">
    <w:abstractNumId w:val="13"/>
  </w:num>
  <w:num w:numId="7">
    <w:abstractNumId w:val="19"/>
  </w:num>
  <w:num w:numId="8">
    <w:abstractNumId w:val="7"/>
  </w:num>
  <w:num w:numId="9">
    <w:abstractNumId w:val="9"/>
  </w:num>
  <w:num w:numId="10">
    <w:abstractNumId w:val="16"/>
  </w:num>
  <w:num w:numId="11">
    <w:abstractNumId w:val="6"/>
  </w:num>
  <w:num w:numId="12">
    <w:abstractNumId w:val="10"/>
  </w:num>
  <w:num w:numId="13">
    <w:abstractNumId w:val="11"/>
  </w:num>
  <w:num w:numId="14">
    <w:abstractNumId w:val="0"/>
  </w:num>
  <w:num w:numId="15">
    <w:abstractNumId w:val="5"/>
  </w:num>
  <w:num w:numId="16">
    <w:abstractNumId w:val="18"/>
  </w:num>
  <w:num w:numId="17">
    <w:abstractNumId w:val="17"/>
  </w:num>
  <w:num w:numId="18">
    <w:abstractNumId w:val="8"/>
  </w:num>
  <w:num w:numId="19">
    <w:abstractNumId w:val="1"/>
  </w:num>
  <w:num w:numId="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4E4"/>
    <w:rsid w:val="00001B5D"/>
    <w:rsid w:val="00001C4C"/>
    <w:rsid w:val="000023D9"/>
    <w:rsid w:val="00003363"/>
    <w:rsid w:val="00003D39"/>
    <w:rsid w:val="00004616"/>
    <w:rsid w:val="00005F93"/>
    <w:rsid w:val="00006467"/>
    <w:rsid w:val="000107CA"/>
    <w:rsid w:val="00010845"/>
    <w:rsid w:val="0001194F"/>
    <w:rsid w:val="00011E50"/>
    <w:rsid w:val="000124A6"/>
    <w:rsid w:val="0001259B"/>
    <w:rsid w:val="00013455"/>
    <w:rsid w:val="00013F8D"/>
    <w:rsid w:val="0001481D"/>
    <w:rsid w:val="000151FF"/>
    <w:rsid w:val="00015459"/>
    <w:rsid w:val="000155B9"/>
    <w:rsid w:val="0001583A"/>
    <w:rsid w:val="00017C38"/>
    <w:rsid w:val="000200EB"/>
    <w:rsid w:val="0002026D"/>
    <w:rsid w:val="00021154"/>
    <w:rsid w:val="0002297F"/>
    <w:rsid w:val="000234CD"/>
    <w:rsid w:val="00025958"/>
    <w:rsid w:val="00025A82"/>
    <w:rsid w:val="00026126"/>
    <w:rsid w:val="00026434"/>
    <w:rsid w:val="00027CA2"/>
    <w:rsid w:val="00027F69"/>
    <w:rsid w:val="00030D0D"/>
    <w:rsid w:val="000342A4"/>
    <w:rsid w:val="000344DB"/>
    <w:rsid w:val="0003485A"/>
    <w:rsid w:val="00034CE2"/>
    <w:rsid w:val="00036247"/>
    <w:rsid w:val="000363B9"/>
    <w:rsid w:val="0004043A"/>
    <w:rsid w:val="0004055E"/>
    <w:rsid w:val="00040AE5"/>
    <w:rsid w:val="00040FF1"/>
    <w:rsid w:val="0004213B"/>
    <w:rsid w:val="00042DB9"/>
    <w:rsid w:val="00044609"/>
    <w:rsid w:val="00045178"/>
    <w:rsid w:val="0004581B"/>
    <w:rsid w:val="00046B11"/>
    <w:rsid w:val="00050F4F"/>
    <w:rsid w:val="00051248"/>
    <w:rsid w:val="00052C73"/>
    <w:rsid w:val="000535AF"/>
    <w:rsid w:val="00053C66"/>
    <w:rsid w:val="00054205"/>
    <w:rsid w:val="00054A97"/>
    <w:rsid w:val="000553EB"/>
    <w:rsid w:val="00055B1C"/>
    <w:rsid w:val="00057678"/>
    <w:rsid w:val="00060A66"/>
    <w:rsid w:val="000613BC"/>
    <w:rsid w:val="000627DD"/>
    <w:rsid w:val="000628E2"/>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59A"/>
    <w:rsid w:val="0007461A"/>
    <w:rsid w:val="00075BFA"/>
    <w:rsid w:val="0007640B"/>
    <w:rsid w:val="00076DD8"/>
    <w:rsid w:val="00076F85"/>
    <w:rsid w:val="00077152"/>
    <w:rsid w:val="0008096A"/>
    <w:rsid w:val="000816E8"/>
    <w:rsid w:val="000838AC"/>
    <w:rsid w:val="00085372"/>
    <w:rsid w:val="00087FA6"/>
    <w:rsid w:val="00090FF8"/>
    <w:rsid w:val="00091660"/>
    <w:rsid w:val="00091A1A"/>
    <w:rsid w:val="00091F6E"/>
    <w:rsid w:val="0009445D"/>
    <w:rsid w:val="000946FA"/>
    <w:rsid w:val="00094BC2"/>
    <w:rsid w:val="00094D42"/>
    <w:rsid w:val="000952FD"/>
    <w:rsid w:val="000973CA"/>
    <w:rsid w:val="000A03DA"/>
    <w:rsid w:val="000A11A9"/>
    <w:rsid w:val="000A14B7"/>
    <w:rsid w:val="000A369D"/>
    <w:rsid w:val="000A3A2F"/>
    <w:rsid w:val="000A513B"/>
    <w:rsid w:val="000A7F5F"/>
    <w:rsid w:val="000B0559"/>
    <w:rsid w:val="000B1931"/>
    <w:rsid w:val="000B1D83"/>
    <w:rsid w:val="000B2FEE"/>
    <w:rsid w:val="000B3DD2"/>
    <w:rsid w:val="000B4DC7"/>
    <w:rsid w:val="000B5696"/>
    <w:rsid w:val="000B5E30"/>
    <w:rsid w:val="000B699C"/>
    <w:rsid w:val="000B6B00"/>
    <w:rsid w:val="000C3D9A"/>
    <w:rsid w:val="000C43C9"/>
    <w:rsid w:val="000C4910"/>
    <w:rsid w:val="000C4A6D"/>
    <w:rsid w:val="000C4D5B"/>
    <w:rsid w:val="000C4F5B"/>
    <w:rsid w:val="000C534E"/>
    <w:rsid w:val="000C6DCD"/>
    <w:rsid w:val="000C7C6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6E1"/>
    <w:rsid w:val="000E5759"/>
    <w:rsid w:val="000E6880"/>
    <w:rsid w:val="000E6DD2"/>
    <w:rsid w:val="000E734F"/>
    <w:rsid w:val="000F09D3"/>
    <w:rsid w:val="000F1D06"/>
    <w:rsid w:val="000F27D8"/>
    <w:rsid w:val="000F364D"/>
    <w:rsid w:val="000F3DE0"/>
    <w:rsid w:val="000F3FCB"/>
    <w:rsid w:val="000F465A"/>
    <w:rsid w:val="000F4C51"/>
    <w:rsid w:val="000F7599"/>
    <w:rsid w:val="000F7CE2"/>
    <w:rsid w:val="00100244"/>
    <w:rsid w:val="001009C1"/>
    <w:rsid w:val="001010A1"/>
    <w:rsid w:val="0010295D"/>
    <w:rsid w:val="00103FBE"/>
    <w:rsid w:val="00104301"/>
    <w:rsid w:val="0010447A"/>
    <w:rsid w:val="001045F6"/>
    <w:rsid w:val="001053AF"/>
    <w:rsid w:val="001057E4"/>
    <w:rsid w:val="00105F24"/>
    <w:rsid w:val="001060AA"/>
    <w:rsid w:val="00106492"/>
    <w:rsid w:val="00107252"/>
    <w:rsid w:val="001077FD"/>
    <w:rsid w:val="001102B8"/>
    <w:rsid w:val="00112867"/>
    <w:rsid w:val="00113054"/>
    <w:rsid w:val="0011327F"/>
    <w:rsid w:val="0011370F"/>
    <w:rsid w:val="0011688E"/>
    <w:rsid w:val="00117C29"/>
    <w:rsid w:val="001218F5"/>
    <w:rsid w:val="00122D5C"/>
    <w:rsid w:val="00122F51"/>
    <w:rsid w:val="0012365C"/>
    <w:rsid w:val="00124278"/>
    <w:rsid w:val="001249B3"/>
    <w:rsid w:val="00124F09"/>
    <w:rsid w:val="00124FD2"/>
    <w:rsid w:val="001253A0"/>
    <w:rsid w:val="001269C7"/>
    <w:rsid w:val="00130332"/>
    <w:rsid w:val="00130340"/>
    <w:rsid w:val="00131267"/>
    <w:rsid w:val="00131F1B"/>
    <w:rsid w:val="0013318E"/>
    <w:rsid w:val="001346E0"/>
    <w:rsid w:val="0013542D"/>
    <w:rsid w:val="0013559F"/>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854"/>
    <w:rsid w:val="00157E9A"/>
    <w:rsid w:val="001607AD"/>
    <w:rsid w:val="00161465"/>
    <w:rsid w:val="001625C3"/>
    <w:rsid w:val="001626BA"/>
    <w:rsid w:val="00162A57"/>
    <w:rsid w:val="00162F85"/>
    <w:rsid w:val="00163D49"/>
    <w:rsid w:val="0016470B"/>
    <w:rsid w:val="00165D35"/>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48"/>
    <w:rsid w:val="0018677E"/>
    <w:rsid w:val="00186B1D"/>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A68C9"/>
    <w:rsid w:val="001B0E9B"/>
    <w:rsid w:val="001B1023"/>
    <w:rsid w:val="001B2B0A"/>
    <w:rsid w:val="001B363A"/>
    <w:rsid w:val="001B4B24"/>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0C83"/>
    <w:rsid w:val="001E160E"/>
    <w:rsid w:val="001E2980"/>
    <w:rsid w:val="001E4A1F"/>
    <w:rsid w:val="001E4C61"/>
    <w:rsid w:val="001E4CF4"/>
    <w:rsid w:val="001E5079"/>
    <w:rsid w:val="001E6596"/>
    <w:rsid w:val="001E6A15"/>
    <w:rsid w:val="001E6B2B"/>
    <w:rsid w:val="001E6FC2"/>
    <w:rsid w:val="001E7A6A"/>
    <w:rsid w:val="001F2054"/>
    <w:rsid w:val="001F2BFF"/>
    <w:rsid w:val="001F2C71"/>
    <w:rsid w:val="001F2F8D"/>
    <w:rsid w:val="001F3963"/>
    <w:rsid w:val="001F3F3A"/>
    <w:rsid w:val="001F4283"/>
    <w:rsid w:val="001F5420"/>
    <w:rsid w:val="001F59D9"/>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16D45"/>
    <w:rsid w:val="00221265"/>
    <w:rsid w:val="00221717"/>
    <w:rsid w:val="00222B9C"/>
    <w:rsid w:val="00223347"/>
    <w:rsid w:val="00223BE8"/>
    <w:rsid w:val="00224F1D"/>
    <w:rsid w:val="0022545D"/>
    <w:rsid w:val="002255D9"/>
    <w:rsid w:val="00225AA7"/>
    <w:rsid w:val="00226260"/>
    <w:rsid w:val="00226823"/>
    <w:rsid w:val="002278A5"/>
    <w:rsid w:val="00227CB6"/>
    <w:rsid w:val="002309E9"/>
    <w:rsid w:val="00230AA3"/>
    <w:rsid w:val="002318C0"/>
    <w:rsid w:val="00231B55"/>
    <w:rsid w:val="00233277"/>
    <w:rsid w:val="00233C03"/>
    <w:rsid w:val="00234A09"/>
    <w:rsid w:val="00234A41"/>
    <w:rsid w:val="00234B03"/>
    <w:rsid w:val="00234E35"/>
    <w:rsid w:val="00234EC0"/>
    <w:rsid w:val="00235396"/>
    <w:rsid w:val="00235724"/>
    <w:rsid w:val="00236704"/>
    <w:rsid w:val="00241F11"/>
    <w:rsid w:val="00244433"/>
    <w:rsid w:val="0024552B"/>
    <w:rsid w:val="00245616"/>
    <w:rsid w:val="00246BB9"/>
    <w:rsid w:val="00247622"/>
    <w:rsid w:val="002508A5"/>
    <w:rsid w:val="00251BD4"/>
    <w:rsid w:val="00253951"/>
    <w:rsid w:val="00253B5E"/>
    <w:rsid w:val="00253F3D"/>
    <w:rsid w:val="00254DCC"/>
    <w:rsid w:val="0025575B"/>
    <w:rsid w:val="00255D0E"/>
    <w:rsid w:val="0025714A"/>
    <w:rsid w:val="00257D92"/>
    <w:rsid w:val="00257FB3"/>
    <w:rsid w:val="00260578"/>
    <w:rsid w:val="00262C8C"/>
    <w:rsid w:val="00263BFD"/>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7E0D"/>
    <w:rsid w:val="00277F77"/>
    <w:rsid w:val="0028000A"/>
    <w:rsid w:val="00280521"/>
    <w:rsid w:val="00282B7B"/>
    <w:rsid w:val="00282F42"/>
    <w:rsid w:val="002836A4"/>
    <w:rsid w:val="002838EF"/>
    <w:rsid w:val="00287A15"/>
    <w:rsid w:val="00290EB5"/>
    <w:rsid w:val="00292CCC"/>
    <w:rsid w:val="00292F59"/>
    <w:rsid w:val="002940DD"/>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B7B7D"/>
    <w:rsid w:val="002C0F40"/>
    <w:rsid w:val="002C1909"/>
    <w:rsid w:val="002C1C95"/>
    <w:rsid w:val="002C2C2D"/>
    <w:rsid w:val="002C33BC"/>
    <w:rsid w:val="002C4897"/>
    <w:rsid w:val="002C51B9"/>
    <w:rsid w:val="002C71EF"/>
    <w:rsid w:val="002D1433"/>
    <w:rsid w:val="002D2689"/>
    <w:rsid w:val="002D313C"/>
    <w:rsid w:val="002D45A0"/>
    <w:rsid w:val="002D4FD5"/>
    <w:rsid w:val="002D5289"/>
    <w:rsid w:val="002D5C0E"/>
    <w:rsid w:val="002D6067"/>
    <w:rsid w:val="002D655E"/>
    <w:rsid w:val="002E0131"/>
    <w:rsid w:val="002E0232"/>
    <w:rsid w:val="002E0938"/>
    <w:rsid w:val="002E0BEC"/>
    <w:rsid w:val="002E258B"/>
    <w:rsid w:val="002E33A3"/>
    <w:rsid w:val="002E3499"/>
    <w:rsid w:val="002E3D76"/>
    <w:rsid w:val="002E426D"/>
    <w:rsid w:val="002E58D6"/>
    <w:rsid w:val="002E6354"/>
    <w:rsid w:val="002E73B3"/>
    <w:rsid w:val="002E7C2F"/>
    <w:rsid w:val="002F01F6"/>
    <w:rsid w:val="002F2245"/>
    <w:rsid w:val="002F264B"/>
    <w:rsid w:val="002F275D"/>
    <w:rsid w:val="002F29E3"/>
    <w:rsid w:val="002F2F83"/>
    <w:rsid w:val="002F3B66"/>
    <w:rsid w:val="002F3E72"/>
    <w:rsid w:val="002F732D"/>
    <w:rsid w:val="002F7D24"/>
    <w:rsid w:val="00300462"/>
    <w:rsid w:val="00300C80"/>
    <w:rsid w:val="00301760"/>
    <w:rsid w:val="003057DE"/>
    <w:rsid w:val="00305ED6"/>
    <w:rsid w:val="0030640A"/>
    <w:rsid w:val="00307A6F"/>
    <w:rsid w:val="00310753"/>
    <w:rsid w:val="00310840"/>
    <w:rsid w:val="00312CF1"/>
    <w:rsid w:val="0031309E"/>
    <w:rsid w:val="003162EB"/>
    <w:rsid w:val="0031638F"/>
    <w:rsid w:val="00316805"/>
    <w:rsid w:val="003179A1"/>
    <w:rsid w:val="00317CB3"/>
    <w:rsid w:val="003214C5"/>
    <w:rsid w:val="00322352"/>
    <w:rsid w:val="003225F1"/>
    <w:rsid w:val="00322B15"/>
    <w:rsid w:val="00324B1E"/>
    <w:rsid w:val="0033113C"/>
    <w:rsid w:val="00331B27"/>
    <w:rsid w:val="00331C47"/>
    <w:rsid w:val="00331DB3"/>
    <w:rsid w:val="00331E95"/>
    <w:rsid w:val="003321AD"/>
    <w:rsid w:val="003322BE"/>
    <w:rsid w:val="00332B16"/>
    <w:rsid w:val="00332FC6"/>
    <w:rsid w:val="00334B88"/>
    <w:rsid w:val="003358CA"/>
    <w:rsid w:val="00335C2F"/>
    <w:rsid w:val="00337987"/>
    <w:rsid w:val="00337EC4"/>
    <w:rsid w:val="003400D9"/>
    <w:rsid w:val="0034172C"/>
    <w:rsid w:val="00342262"/>
    <w:rsid w:val="0034272F"/>
    <w:rsid w:val="00343133"/>
    <w:rsid w:val="00344CDE"/>
    <w:rsid w:val="00344F24"/>
    <w:rsid w:val="00345EC7"/>
    <w:rsid w:val="0034755B"/>
    <w:rsid w:val="00350F3A"/>
    <w:rsid w:val="00351ABB"/>
    <w:rsid w:val="00351C0D"/>
    <w:rsid w:val="00352146"/>
    <w:rsid w:val="00354865"/>
    <w:rsid w:val="00354A17"/>
    <w:rsid w:val="00355C00"/>
    <w:rsid w:val="0035642B"/>
    <w:rsid w:val="003572BA"/>
    <w:rsid w:val="0035799E"/>
    <w:rsid w:val="00361114"/>
    <w:rsid w:val="00362011"/>
    <w:rsid w:val="003621EF"/>
    <w:rsid w:val="00362794"/>
    <w:rsid w:val="00365958"/>
    <w:rsid w:val="00370617"/>
    <w:rsid w:val="00370A32"/>
    <w:rsid w:val="00371338"/>
    <w:rsid w:val="003713C4"/>
    <w:rsid w:val="00371D6A"/>
    <w:rsid w:val="003727B8"/>
    <w:rsid w:val="003732D8"/>
    <w:rsid w:val="003732E1"/>
    <w:rsid w:val="00373365"/>
    <w:rsid w:val="00373EAA"/>
    <w:rsid w:val="003765A0"/>
    <w:rsid w:val="003779CD"/>
    <w:rsid w:val="003808DA"/>
    <w:rsid w:val="00381DD2"/>
    <w:rsid w:val="00384435"/>
    <w:rsid w:val="00384A15"/>
    <w:rsid w:val="003854AB"/>
    <w:rsid w:val="00390F86"/>
    <w:rsid w:val="00392328"/>
    <w:rsid w:val="00393E94"/>
    <w:rsid w:val="0039456F"/>
    <w:rsid w:val="00394E39"/>
    <w:rsid w:val="00395315"/>
    <w:rsid w:val="00396790"/>
    <w:rsid w:val="00396914"/>
    <w:rsid w:val="00396A4E"/>
    <w:rsid w:val="00396D87"/>
    <w:rsid w:val="003A0395"/>
    <w:rsid w:val="003A056E"/>
    <w:rsid w:val="003A216D"/>
    <w:rsid w:val="003A4F31"/>
    <w:rsid w:val="003A4FB1"/>
    <w:rsid w:val="003A53FB"/>
    <w:rsid w:val="003A54EA"/>
    <w:rsid w:val="003B05A8"/>
    <w:rsid w:val="003B1704"/>
    <w:rsid w:val="003B1DB9"/>
    <w:rsid w:val="003B307D"/>
    <w:rsid w:val="003B31C9"/>
    <w:rsid w:val="003B39C6"/>
    <w:rsid w:val="003B3DBB"/>
    <w:rsid w:val="003B3FE2"/>
    <w:rsid w:val="003B4B0F"/>
    <w:rsid w:val="003B5240"/>
    <w:rsid w:val="003B5C7E"/>
    <w:rsid w:val="003B5FE8"/>
    <w:rsid w:val="003C2098"/>
    <w:rsid w:val="003C381E"/>
    <w:rsid w:val="003C3AAA"/>
    <w:rsid w:val="003C48C5"/>
    <w:rsid w:val="003C5132"/>
    <w:rsid w:val="003C62D1"/>
    <w:rsid w:val="003C6DE0"/>
    <w:rsid w:val="003C7400"/>
    <w:rsid w:val="003D0253"/>
    <w:rsid w:val="003D069B"/>
    <w:rsid w:val="003D2F22"/>
    <w:rsid w:val="003D6790"/>
    <w:rsid w:val="003D6E90"/>
    <w:rsid w:val="003D79A3"/>
    <w:rsid w:val="003D7D84"/>
    <w:rsid w:val="003D7E13"/>
    <w:rsid w:val="003E0A21"/>
    <w:rsid w:val="003E1450"/>
    <w:rsid w:val="003E21B6"/>
    <w:rsid w:val="003E250A"/>
    <w:rsid w:val="003E3353"/>
    <w:rsid w:val="003E3889"/>
    <w:rsid w:val="003E39ED"/>
    <w:rsid w:val="003F0CD1"/>
    <w:rsid w:val="003F0E9A"/>
    <w:rsid w:val="003F293D"/>
    <w:rsid w:val="003F33B7"/>
    <w:rsid w:val="003F4C52"/>
    <w:rsid w:val="003F5078"/>
    <w:rsid w:val="003F5095"/>
    <w:rsid w:val="003F5ACA"/>
    <w:rsid w:val="003F5DF8"/>
    <w:rsid w:val="003F6858"/>
    <w:rsid w:val="003F69F7"/>
    <w:rsid w:val="00401F19"/>
    <w:rsid w:val="00403ED0"/>
    <w:rsid w:val="0040509A"/>
    <w:rsid w:val="00405966"/>
    <w:rsid w:val="00406AA6"/>
    <w:rsid w:val="004112A8"/>
    <w:rsid w:val="00411626"/>
    <w:rsid w:val="004123A9"/>
    <w:rsid w:val="00412472"/>
    <w:rsid w:val="004149C3"/>
    <w:rsid w:val="004151BC"/>
    <w:rsid w:val="004152B4"/>
    <w:rsid w:val="004155BA"/>
    <w:rsid w:val="00416580"/>
    <w:rsid w:val="00416D77"/>
    <w:rsid w:val="00417103"/>
    <w:rsid w:val="00417410"/>
    <w:rsid w:val="00417AAE"/>
    <w:rsid w:val="00421B1D"/>
    <w:rsid w:val="00421D97"/>
    <w:rsid w:val="00421F6B"/>
    <w:rsid w:val="0042222E"/>
    <w:rsid w:val="00422B53"/>
    <w:rsid w:val="00425226"/>
    <w:rsid w:val="00426796"/>
    <w:rsid w:val="0042687B"/>
    <w:rsid w:val="004279A3"/>
    <w:rsid w:val="00427FD4"/>
    <w:rsid w:val="0043034F"/>
    <w:rsid w:val="004330AF"/>
    <w:rsid w:val="004331B3"/>
    <w:rsid w:val="00433D18"/>
    <w:rsid w:val="00434D81"/>
    <w:rsid w:val="00434D97"/>
    <w:rsid w:val="004359D4"/>
    <w:rsid w:val="00436660"/>
    <w:rsid w:val="00437D77"/>
    <w:rsid w:val="00440799"/>
    <w:rsid w:val="00440EF7"/>
    <w:rsid w:val="00441219"/>
    <w:rsid w:val="00441291"/>
    <w:rsid w:val="0044171D"/>
    <w:rsid w:val="004426A6"/>
    <w:rsid w:val="00443A0D"/>
    <w:rsid w:val="0044681A"/>
    <w:rsid w:val="00446D25"/>
    <w:rsid w:val="00447C8A"/>
    <w:rsid w:val="00447EF3"/>
    <w:rsid w:val="00450706"/>
    <w:rsid w:val="00452C6B"/>
    <w:rsid w:val="00455FEC"/>
    <w:rsid w:val="004564B8"/>
    <w:rsid w:val="004565F5"/>
    <w:rsid w:val="0045672C"/>
    <w:rsid w:val="00460ACA"/>
    <w:rsid w:val="00460D6B"/>
    <w:rsid w:val="0046132A"/>
    <w:rsid w:val="0046233B"/>
    <w:rsid w:val="00462494"/>
    <w:rsid w:val="0046283B"/>
    <w:rsid w:val="004640BA"/>
    <w:rsid w:val="00464B68"/>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5D88"/>
    <w:rsid w:val="004769CF"/>
    <w:rsid w:val="00476EF0"/>
    <w:rsid w:val="0047781B"/>
    <w:rsid w:val="00477D9F"/>
    <w:rsid w:val="00480E4C"/>
    <w:rsid w:val="00481161"/>
    <w:rsid w:val="00483510"/>
    <w:rsid w:val="00483692"/>
    <w:rsid w:val="0048377E"/>
    <w:rsid w:val="004847BD"/>
    <w:rsid w:val="00484857"/>
    <w:rsid w:val="00487D05"/>
    <w:rsid w:val="00487F0A"/>
    <w:rsid w:val="00490033"/>
    <w:rsid w:val="00491227"/>
    <w:rsid w:val="0049304B"/>
    <w:rsid w:val="00494E74"/>
    <w:rsid w:val="00495B09"/>
    <w:rsid w:val="00496309"/>
    <w:rsid w:val="00496517"/>
    <w:rsid w:val="004976C5"/>
    <w:rsid w:val="004A021D"/>
    <w:rsid w:val="004A0701"/>
    <w:rsid w:val="004A0A20"/>
    <w:rsid w:val="004A3002"/>
    <w:rsid w:val="004A4F29"/>
    <w:rsid w:val="004A58F5"/>
    <w:rsid w:val="004A5BF0"/>
    <w:rsid w:val="004A601B"/>
    <w:rsid w:val="004A6C76"/>
    <w:rsid w:val="004B1C79"/>
    <w:rsid w:val="004B1CD5"/>
    <w:rsid w:val="004B2BFE"/>
    <w:rsid w:val="004B4AA9"/>
    <w:rsid w:val="004B6108"/>
    <w:rsid w:val="004C044F"/>
    <w:rsid w:val="004C0E5F"/>
    <w:rsid w:val="004C15E2"/>
    <w:rsid w:val="004C1E3A"/>
    <w:rsid w:val="004C36D1"/>
    <w:rsid w:val="004C441A"/>
    <w:rsid w:val="004C59A0"/>
    <w:rsid w:val="004C63BF"/>
    <w:rsid w:val="004C64BD"/>
    <w:rsid w:val="004C6556"/>
    <w:rsid w:val="004C6700"/>
    <w:rsid w:val="004D04F9"/>
    <w:rsid w:val="004D05EF"/>
    <w:rsid w:val="004D0E30"/>
    <w:rsid w:val="004D2937"/>
    <w:rsid w:val="004D3C72"/>
    <w:rsid w:val="004D4000"/>
    <w:rsid w:val="004D4AED"/>
    <w:rsid w:val="004D6204"/>
    <w:rsid w:val="004D6607"/>
    <w:rsid w:val="004E09E4"/>
    <w:rsid w:val="004E0A30"/>
    <w:rsid w:val="004E22AA"/>
    <w:rsid w:val="004E281C"/>
    <w:rsid w:val="004E2DAD"/>
    <w:rsid w:val="004E3927"/>
    <w:rsid w:val="004E41E3"/>
    <w:rsid w:val="004E4887"/>
    <w:rsid w:val="004E4955"/>
    <w:rsid w:val="004E5430"/>
    <w:rsid w:val="004E77CF"/>
    <w:rsid w:val="004F22BB"/>
    <w:rsid w:val="004F2634"/>
    <w:rsid w:val="004F2A18"/>
    <w:rsid w:val="004F3668"/>
    <w:rsid w:val="004F4C71"/>
    <w:rsid w:val="004F7500"/>
    <w:rsid w:val="004F77A6"/>
    <w:rsid w:val="00500BEF"/>
    <w:rsid w:val="00501463"/>
    <w:rsid w:val="005018DE"/>
    <w:rsid w:val="00502D59"/>
    <w:rsid w:val="00503AD1"/>
    <w:rsid w:val="00505955"/>
    <w:rsid w:val="005059EE"/>
    <w:rsid w:val="005075BE"/>
    <w:rsid w:val="0051053D"/>
    <w:rsid w:val="005109F5"/>
    <w:rsid w:val="00510AB2"/>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9"/>
    <w:rsid w:val="0052791F"/>
    <w:rsid w:val="005306E4"/>
    <w:rsid w:val="005307A5"/>
    <w:rsid w:val="00531A99"/>
    <w:rsid w:val="005340C0"/>
    <w:rsid w:val="00535129"/>
    <w:rsid w:val="0053615C"/>
    <w:rsid w:val="0053677A"/>
    <w:rsid w:val="00536925"/>
    <w:rsid w:val="00537F65"/>
    <w:rsid w:val="005405BF"/>
    <w:rsid w:val="00540D41"/>
    <w:rsid w:val="00541969"/>
    <w:rsid w:val="005424C8"/>
    <w:rsid w:val="00542DD3"/>
    <w:rsid w:val="0054403D"/>
    <w:rsid w:val="0054550E"/>
    <w:rsid w:val="00546B9C"/>
    <w:rsid w:val="00547527"/>
    <w:rsid w:val="00547748"/>
    <w:rsid w:val="005515B0"/>
    <w:rsid w:val="00551DFF"/>
    <w:rsid w:val="00551E53"/>
    <w:rsid w:val="00553AFB"/>
    <w:rsid w:val="005551F9"/>
    <w:rsid w:val="00560B82"/>
    <w:rsid w:val="00560D26"/>
    <w:rsid w:val="00563487"/>
    <w:rsid w:val="005635E1"/>
    <w:rsid w:val="00565512"/>
    <w:rsid w:val="00567D82"/>
    <w:rsid w:val="00570F1F"/>
    <w:rsid w:val="00570FC6"/>
    <w:rsid w:val="005722CD"/>
    <w:rsid w:val="005722FF"/>
    <w:rsid w:val="00572C7D"/>
    <w:rsid w:val="00574722"/>
    <w:rsid w:val="00576752"/>
    <w:rsid w:val="005768FE"/>
    <w:rsid w:val="005806E2"/>
    <w:rsid w:val="00581642"/>
    <w:rsid w:val="0058203F"/>
    <w:rsid w:val="00583831"/>
    <w:rsid w:val="0058445D"/>
    <w:rsid w:val="00585012"/>
    <w:rsid w:val="0058551C"/>
    <w:rsid w:val="005865DF"/>
    <w:rsid w:val="00586B90"/>
    <w:rsid w:val="0058717E"/>
    <w:rsid w:val="00587275"/>
    <w:rsid w:val="00587CCC"/>
    <w:rsid w:val="005900F6"/>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56A4"/>
    <w:rsid w:val="005B57B2"/>
    <w:rsid w:val="005B5BB7"/>
    <w:rsid w:val="005C06E9"/>
    <w:rsid w:val="005C14FE"/>
    <w:rsid w:val="005C3157"/>
    <w:rsid w:val="005C356C"/>
    <w:rsid w:val="005C38FB"/>
    <w:rsid w:val="005C721D"/>
    <w:rsid w:val="005C72C1"/>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04E"/>
    <w:rsid w:val="005E5842"/>
    <w:rsid w:val="005E76E4"/>
    <w:rsid w:val="005F029B"/>
    <w:rsid w:val="005F0967"/>
    <w:rsid w:val="005F2573"/>
    <w:rsid w:val="005F2B85"/>
    <w:rsid w:val="005F2D57"/>
    <w:rsid w:val="005F552E"/>
    <w:rsid w:val="005F70AB"/>
    <w:rsid w:val="005F79A9"/>
    <w:rsid w:val="005F7E12"/>
    <w:rsid w:val="00600724"/>
    <w:rsid w:val="00600DAE"/>
    <w:rsid w:val="00600F57"/>
    <w:rsid w:val="00602705"/>
    <w:rsid w:val="00602FFC"/>
    <w:rsid w:val="006032C0"/>
    <w:rsid w:val="00603A78"/>
    <w:rsid w:val="00604122"/>
    <w:rsid w:val="006058DA"/>
    <w:rsid w:val="00606D6A"/>
    <w:rsid w:val="0060762A"/>
    <w:rsid w:val="006112EF"/>
    <w:rsid w:val="00611C6A"/>
    <w:rsid w:val="00611FCD"/>
    <w:rsid w:val="00614A7D"/>
    <w:rsid w:val="006154F4"/>
    <w:rsid w:val="00615773"/>
    <w:rsid w:val="00616A16"/>
    <w:rsid w:val="0061774C"/>
    <w:rsid w:val="00620AFB"/>
    <w:rsid w:val="00620D93"/>
    <w:rsid w:val="00621020"/>
    <w:rsid w:val="00621EC5"/>
    <w:rsid w:val="00622539"/>
    <w:rsid w:val="006227C7"/>
    <w:rsid w:val="0062393F"/>
    <w:rsid w:val="006245BD"/>
    <w:rsid w:val="00625E2B"/>
    <w:rsid w:val="006263E4"/>
    <w:rsid w:val="00626D8F"/>
    <w:rsid w:val="00627F05"/>
    <w:rsid w:val="00630C35"/>
    <w:rsid w:val="00631939"/>
    <w:rsid w:val="00632803"/>
    <w:rsid w:val="00633108"/>
    <w:rsid w:val="00634BC8"/>
    <w:rsid w:val="006354C0"/>
    <w:rsid w:val="006356AB"/>
    <w:rsid w:val="0063696C"/>
    <w:rsid w:val="00637FF8"/>
    <w:rsid w:val="00641237"/>
    <w:rsid w:val="00642708"/>
    <w:rsid w:val="00642C38"/>
    <w:rsid w:val="00643C20"/>
    <w:rsid w:val="00644231"/>
    <w:rsid w:val="00644A40"/>
    <w:rsid w:val="00644C1E"/>
    <w:rsid w:val="00644CDF"/>
    <w:rsid w:val="00644D7A"/>
    <w:rsid w:val="00645164"/>
    <w:rsid w:val="00645298"/>
    <w:rsid w:val="0064570B"/>
    <w:rsid w:val="006468E6"/>
    <w:rsid w:val="00646D6C"/>
    <w:rsid w:val="006476E5"/>
    <w:rsid w:val="006502BE"/>
    <w:rsid w:val="0065165F"/>
    <w:rsid w:val="00651EED"/>
    <w:rsid w:val="006534DB"/>
    <w:rsid w:val="00654C39"/>
    <w:rsid w:val="00655191"/>
    <w:rsid w:val="00655D3D"/>
    <w:rsid w:val="00656FD8"/>
    <w:rsid w:val="0066047D"/>
    <w:rsid w:val="00660484"/>
    <w:rsid w:val="00660612"/>
    <w:rsid w:val="006623B3"/>
    <w:rsid w:val="00662D31"/>
    <w:rsid w:val="00663E0E"/>
    <w:rsid w:val="00664488"/>
    <w:rsid w:val="0066493E"/>
    <w:rsid w:val="006676CA"/>
    <w:rsid w:val="00670547"/>
    <w:rsid w:val="00670799"/>
    <w:rsid w:val="00670FFC"/>
    <w:rsid w:val="00671AF1"/>
    <w:rsid w:val="006720CC"/>
    <w:rsid w:val="0067378C"/>
    <w:rsid w:val="0067409D"/>
    <w:rsid w:val="00674F5B"/>
    <w:rsid w:val="00675CAB"/>
    <w:rsid w:val="006772DE"/>
    <w:rsid w:val="0067747F"/>
    <w:rsid w:val="00680E86"/>
    <w:rsid w:val="006814B5"/>
    <w:rsid w:val="0068167F"/>
    <w:rsid w:val="00683F25"/>
    <w:rsid w:val="00684F3E"/>
    <w:rsid w:val="006853BE"/>
    <w:rsid w:val="00685F43"/>
    <w:rsid w:val="006866DA"/>
    <w:rsid w:val="0068799E"/>
    <w:rsid w:val="0069252F"/>
    <w:rsid w:val="0069259D"/>
    <w:rsid w:val="00693CDA"/>
    <w:rsid w:val="00694073"/>
    <w:rsid w:val="00696AED"/>
    <w:rsid w:val="00697939"/>
    <w:rsid w:val="006A05B7"/>
    <w:rsid w:val="006A1C99"/>
    <w:rsid w:val="006A2DE2"/>
    <w:rsid w:val="006A2FDD"/>
    <w:rsid w:val="006A33D4"/>
    <w:rsid w:val="006A37CD"/>
    <w:rsid w:val="006A6A26"/>
    <w:rsid w:val="006B047F"/>
    <w:rsid w:val="006B12DA"/>
    <w:rsid w:val="006B1A0C"/>
    <w:rsid w:val="006B23B0"/>
    <w:rsid w:val="006B2EB2"/>
    <w:rsid w:val="006B31C7"/>
    <w:rsid w:val="006B370D"/>
    <w:rsid w:val="006B4850"/>
    <w:rsid w:val="006B4F52"/>
    <w:rsid w:val="006B541A"/>
    <w:rsid w:val="006B5D62"/>
    <w:rsid w:val="006B651E"/>
    <w:rsid w:val="006B728B"/>
    <w:rsid w:val="006B7556"/>
    <w:rsid w:val="006B76E4"/>
    <w:rsid w:val="006C02D2"/>
    <w:rsid w:val="006C079A"/>
    <w:rsid w:val="006C19C3"/>
    <w:rsid w:val="006C3589"/>
    <w:rsid w:val="006C3B77"/>
    <w:rsid w:val="006C47CE"/>
    <w:rsid w:val="006C558B"/>
    <w:rsid w:val="006D0A13"/>
    <w:rsid w:val="006D467E"/>
    <w:rsid w:val="006D5974"/>
    <w:rsid w:val="006D5AA1"/>
    <w:rsid w:val="006D5E30"/>
    <w:rsid w:val="006D68F5"/>
    <w:rsid w:val="006D74DA"/>
    <w:rsid w:val="006E0653"/>
    <w:rsid w:val="006E068D"/>
    <w:rsid w:val="006E31C3"/>
    <w:rsid w:val="006E3A9B"/>
    <w:rsid w:val="006E475D"/>
    <w:rsid w:val="006E4A33"/>
    <w:rsid w:val="006E50B8"/>
    <w:rsid w:val="006E5159"/>
    <w:rsid w:val="006F065C"/>
    <w:rsid w:val="006F0BC7"/>
    <w:rsid w:val="006F21AA"/>
    <w:rsid w:val="006F32A8"/>
    <w:rsid w:val="006F356F"/>
    <w:rsid w:val="006F3871"/>
    <w:rsid w:val="006F4F34"/>
    <w:rsid w:val="006F542B"/>
    <w:rsid w:val="006F5C08"/>
    <w:rsid w:val="006F5FDD"/>
    <w:rsid w:val="006F661D"/>
    <w:rsid w:val="006F69C8"/>
    <w:rsid w:val="006F6D39"/>
    <w:rsid w:val="006F711C"/>
    <w:rsid w:val="0070089F"/>
    <w:rsid w:val="007022D6"/>
    <w:rsid w:val="00704157"/>
    <w:rsid w:val="00704D32"/>
    <w:rsid w:val="007052A8"/>
    <w:rsid w:val="00705446"/>
    <w:rsid w:val="00706090"/>
    <w:rsid w:val="007063FC"/>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35"/>
    <w:rsid w:val="0072415C"/>
    <w:rsid w:val="00724351"/>
    <w:rsid w:val="00725856"/>
    <w:rsid w:val="00726483"/>
    <w:rsid w:val="00726521"/>
    <w:rsid w:val="00726C16"/>
    <w:rsid w:val="00726F35"/>
    <w:rsid w:val="007270D0"/>
    <w:rsid w:val="007306CA"/>
    <w:rsid w:val="00730BEE"/>
    <w:rsid w:val="00730D3D"/>
    <w:rsid w:val="0073170A"/>
    <w:rsid w:val="00732B63"/>
    <w:rsid w:val="00732D0E"/>
    <w:rsid w:val="0073324B"/>
    <w:rsid w:val="00733999"/>
    <w:rsid w:val="007339C2"/>
    <w:rsid w:val="007339C4"/>
    <w:rsid w:val="00733D4F"/>
    <w:rsid w:val="0073551F"/>
    <w:rsid w:val="0073759D"/>
    <w:rsid w:val="00740C3A"/>
    <w:rsid w:val="0074273E"/>
    <w:rsid w:val="00742C4C"/>
    <w:rsid w:val="00743154"/>
    <w:rsid w:val="007433B0"/>
    <w:rsid w:val="00743693"/>
    <w:rsid w:val="00743E12"/>
    <w:rsid w:val="0074573E"/>
    <w:rsid w:val="007458E5"/>
    <w:rsid w:val="00745D32"/>
    <w:rsid w:val="0075034F"/>
    <w:rsid w:val="007511EA"/>
    <w:rsid w:val="0075129B"/>
    <w:rsid w:val="0075134D"/>
    <w:rsid w:val="00752510"/>
    <w:rsid w:val="0075331D"/>
    <w:rsid w:val="00753B40"/>
    <w:rsid w:val="00755A87"/>
    <w:rsid w:val="007562EB"/>
    <w:rsid w:val="00756C43"/>
    <w:rsid w:val="00756CF0"/>
    <w:rsid w:val="00760B73"/>
    <w:rsid w:val="007626A3"/>
    <w:rsid w:val="00762D00"/>
    <w:rsid w:val="007633BC"/>
    <w:rsid w:val="007644C8"/>
    <w:rsid w:val="00764B68"/>
    <w:rsid w:val="00765CB6"/>
    <w:rsid w:val="007660D2"/>
    <w:rsid w:val="00766477"/>
    <w:rsid w:val="00771674"/>
    <w:rsid w:val="00771BAB"/>
    <w:rsid w:val="00771F24"/>
    <w:rsid w:val="00771FF3"/>
    <w:rsid w:val="00772878"/>
    <w:rsid w:val="00774734"/>
    <w:rsid w:val="00777A37"/>
    <w:rsid w:val="0078034E"/>
    <w:rsid w:val="00781BA0"/>
    <w:rsid w:val="00781CFA"/>
    <w:rsid w:val="00781E5D"/>
    <w:rsid w:val="007852B4"/>
    <w:rsid w:val="0078647B"/>
    <w:rsid w:val="007865C2"/>
    <w:rsid w:val="00787390"/>
    <w:rsid w:val="00787592"/>
    <w:rsid w:val="00791BDC"/>
    <w:rsid w:val="00792A54"/>
    <w:rsid w:val="00792CDB"/>
    <w:rsid w:val="007950A9"/>
    <w:rsid w:val="00796937"/>
    <w:rsid w:val="00797684"/>
    <w:rsid w:val="00797A38"/>
    <w:rsid w:val="007A2343"/>
    <w:rsid w:val="007A2398"/>
    <w:rsid w:val="007A5F3F"/>
    <w:rsid w:val="007A6058"/>
    <w:rsid w:val="007A6F0D"/>
    <w:rsid w:val="007A775A"/>
    <w:rsid w:val="007B04FA"/>
    <w:rsid w:val="007B05F8"/>
    <w:rsid w:val="007B1001"/>
    <w:rsid w:val="007B1BDF"/>
    <w:rsid w:val="007B4D27"/>
    <w:rsid w:val="007B5A95"/>
    <w:rsid w:val="007B5ABD"/>
    <w:rsid w:val="007B5E68"/>
    <w:rsid w:val="007C0CC4"/>
    <w:rsid w:val="007C11AE"/>
    <w:rsid w:val="007C16E1"/>
    <w:rsid w:val="007C2F19"/>
    <w:rsid w:val="007C2F38"/>
    <w:rsid w:val="007C3642"/>
    <w:rsid w:val="007C4070"/>
    <w:rsid w:val="007C4B79"/>
    <w:rsid w:val="007C6716"/>
    <w:rsid w:val="007C69DE"/>
    <w:rsid w:val="007C6A8F"/>
    <w:rsid w:val="007C715D"/>
    <w:rsid w:val="007C72C2"/>
    <w:rsid w:val="007D0374"/>
    <w:rsid w:val="007D0E2B"/>
    <w:rsid w:val="007D1446"/>
    <w:rsid w:val="007D1AD1"/>
    <w:rsid w:val="007D55DB"/>
    <w:rsid w:val="007D6024"/>
    <w:rsid w:val="007D76F2"/>
    <w:rsid w:val="007D7F31"/>
    <w:rsid w:val="007E0714"/>
    <w:rsid w:val="007E089D"/>
    <w:rsid w:val="007E2F64"/>
    <w:rsid w:val="007E5D71"/>
    <w:rsid w:val="007E5F83"/>
    <w:rsid w:val="007E6D06"/>
    <w:rsid w:val="007E6F4A"/>
    <w:rsid w:val="007E767B"/>
    <w:rsid w:val="007E7F43"/>
    <w:rsid w:val="007F0641"/>
    <w:rsid w:val="007F2F1F"/>
    <w:rsid w:val="007F38C5"/>
    <w:rsid w:val="007F3D06"/>
    <w:rsid w:val="007F5938"/>
    <w:rsid w:val="007F6172"/>
    <w:rsid w:val="007F76B3"/>
    <w:rsid w:val="007F7A52"/>
    <w:rsid w:val="007F7A54"/>
    <w:rsid w:val="007F7B52"/>
    <w:rsid w:val="00800024"/>
    <w:rsid w:val="0080175B"/>
    <w:rsid w:val="00803122"/>
    <w:rsid w:val="00803128"/>
    <w:rsid w:val="00803951"/>
    <w:rsid w:val="008054DC"/>
    <w:rsid w:val="0081032C"/>
    <w:rsid w:val="00811EC7"/>
    <w:rsid w:val="0081215A"/>
    <w:rsid w:val="00812269"/>
    <w:rsid w:val="008123CF"/>
    <w:rsid w:val="00813580"/>
    <w:rsid w:val="00813ABA"/>
    <w:rsid w:val="00813E50"/>
    <w:rsid w:val="00814A22"/>
    <w:rsid w:val="008151B8"/>
    <w:rsid w:val="00815528"/>
    <w:rsid w:val="00815FB7"/>
    <w:rsid w:val="00815FE4"/>
    <w:rsid w:val="00820AFC"/>
    <w:rsid w:val="00820CCD"/>
    <w:rsid w:val="00821BC1"/>
    <w:rsid w:val="0082222B"/>
    <w:rsid w:val="0082275E"/>
    <w:rsid w:val="00822839"/>
    <w:rsid w:val="00823E1B"/>
    <w:rsid w:val="008245D8"/>
    <w:rsid w:val="008248DC"/>
    <w:rsid w:val="00824B28"/>
    <w:rsid w:val="00825482"/>
    <w:rsid w:val="008256A9"/>
    <w:rsid w:val="00825AB6"/>
    <w:rsid w:val="0082637F"/>
    <w:rsid w:val="008263D2"/>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47C0A"/>
    <w:rsid w:val="008503E9"/>
    <w:rsid w:val="00850DD6"/>
    <w:rsid w:val="00850E2E"/>
    <w:rsid w:val="0085350E"/>
    <w:rsid w:val="00853AAE"/>
    <w:rsid w:val="00854AB4"/>
    <w:rsid w:val="00855608"/>
    <w:rsid w:val="00856199"/>
    <w:rsid w:val="008563C2"/>
    <w:rsid w:val="00857F73"/>
    <w:rsid w:val="00862A49"/>
    <w:rsid w:val="00862DA5"/>
    <w:rsid w:val="00863843"/>
    <w:rsid w:val="00864158"/>
    <w:rsid w:val="00864872"/>
    <w:rsid w:val="00864962"/>
    <w:rsid w:val="00864F8E"/>
    <w:rsid w:val="00865040"/>
    <w:rsid w:val="008654DF"/>
    <w:rsid w:val="008657C4"/>
    <w:rsid w:val="00865E0A"/>
    <w:rsid w:val="008672E2"/>
    <w:rsid w:val="0087195F"/>
    <w:rsid w:val="00871EDF"/>
    <w:rsid w:val="00873DE4"/>
    <w:rsid w:val="00875F5F"/>
    <w:rsid w:val="008766EC"/>
    <w:rsid w:val="00877A5F"/>
    <w:rsid w:val="00880EA6"/>
    <w:rsid w:val="00882E01"/>
    <w:rsid w:val="0088338E"/>
    <w:rsid w:val="008834D4"/>
    <w:rsid w:val="00883821"/>
    <w:rsid w:val="00885174"/>
    <w:rsid w:val="0088757D"/>
    <w:rsid w:val="00890062"/>
    <w:rsid w:val="0089043F"/>
    <w:rsid w:val="00890E42"/>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A560B"/>
    <w:rsid w:val="008A58A3"/>
    <w:rsid w:val="008B25C4"/>
    <w:rsid w:val="008B2922"/>
    <w:rsid w:val="008B32E1"/>
    <w:rsid w:val="008B3CB4"/>
    <w:rsid w:val="008B46F2"/>
    <w:rsid w:val="008B533A"/>
    <w:rsid w:val="008B6BEA"/>
    <w:rsid w:val="008B6D18"/>
    <w:rsid w:val="008B6FAF"/>
    <w:rsid w:val="008B7E4A"/>
    <w:rsid w:val="008C0603"/>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5FAC"/>
    <w:rsid w:val="008D6865"/>
    <w:rsid w:val="008D6910"/>
    <w:rsid w:val="008D761D"/>
    <w:rsid w:val="008E0BF6"/>
    <w:rsid w:val="008E1C86"/>
    <w:rsid w:val="008E2877"/>
    <w:rsid w:val="008E2C92"/>
    <w:rsid w:val="008E3B70"/>
    <w:rsid w:val="008E550C"/>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649"/>
    <w:rsid w:val="008F785B"/>
    <w:rsid w:val="008F7D62"/>
    <w:rsid w:val="0090052A"/>
    <w:rsid w:val="00900A29"/>
    <w:rsid w:val="009017A0"/>
    <w:rsid w:val="009017EA"/>
    <w:rsid w:val="00902E43"/>
    <w:rsid w:val="00902FCE"/>
    <w:rsid w:val="009044E1"/>
    <w:rsid w:val="0090523B"/>
    <w:rsid w:val="00906066"/>
    <w:rsid w:val="0090609A"/>
    <w:rsid w:val="00906AFD"/>
    <w:rsid w:val="00910BBC"/>
    <w:rsid w:val="00911E1A"/>
    <w:rsid w:val="009139BF"/>
    <w:rsid w:val="0091411B"/>
    <w:rsid w:val="00914156"/>
    <w:rsid w:val="00915268"/>
    <w:rsid w:val="0091654B"/>
    <w:rsid w:val="009166AC"/>
    <w:rsid w:val="0091725A"/>
    <w:rsid w:val="009214C1"/>
    <w:rsid w:val="00922EF9"/>
    <w:rsid w:val="00924770"/>
    <w:rsid w:val="00924ACC"/>
    <w:rsid w:val="009255D4"/>
    <w:rsid w:val="00925953"/>
    <w:rsid w:val="00925E48"/>
    <w:rsid w:val="009267F3"/>
    <w:rsid w:val="00930E57"/>
    <w:rsid w:val="009312C1"/>
    <w:rsid w:val="00931688"/>
    <w:rsid w:val="009337B1"/>
    <w:rsid w:val="00934044"/>
    <w:rsid w:val="0093610B"/>
    <w:rsid w:val="00936F1D"/>
    <w:rsid w:val="009377B0"/>
    <w:rsid w:val="00937A51"/>
    <w:rsid w:val="00937B56"/>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3BFB"/>
    <w:rsid w:val="00955DF1"/>
    <w:rsid w:val="00956D2E"/>
    <w:rsid w:val="00957E18"/>
    <w:rsid w:val="00960B79"/>
    <w:rsid w:val="00961254"/>
    <w:rsid w:val="00963344"/>
    <w:rsid w:val="00965706"/>
    <w:rsid w:val="00966AA9"/>
    <w:rsid w:val="00967599"/>
    <w:rsid w:val="00970641"/>
    <w:rsid w:val="009717C5"/>
    <w:rsid w:val="009724DB"/>
    <w:rsid w:val="009729EF"/>
    <w:rsid w:val="00972DC4"/>
    <w:rsid w:val="00973E36"/>
    <w:rsid w:val="00973FD5"/>
    <w:rsid w:val="009751FE"/>
    <w:rsid w:val="009752A7"/>
    <w:rsid w:val="00975ED4"/>
    <w:rsid w:val="009767D2"/>
    <w:rsid w:val="00976891"/>
    <w:rsid w:val="0098008C"/>
    <w:rsid w:val="00980886"/>
    <w:rsid w:val="00980F7F"/>
    <w:rsid w:val="00982348"/>
    <w:rsid w:val="009827C7"/>
    <w:rsid w:val="00983914"/>
    <w:rsid w:val="00983B93"/>
    <w:rsid w:val="00984229"/>
    <w:rsid w:val="00984366"/>
    <w:rsid w:val="00984D0F"/>
    <w:rsid w:val="00985D75"/>
    <w:rsid w:val="00986658"/>
    <w:rsid w:val="00987A82"/>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563F"/>
    <w:rsid w:val="009A6AFB"/>
    <w:rsid w:val="009A6C3A"/>
    <w:rsid w:val="009B0893"/>
    <w:rsid w:val="009B12B6"/>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703"/>
    <w:rsid w:val="009D4AAA"/>
    <w:rsid w:val="009E1F33"/>
    <w:rsid w:val="009E3BDC"/>
    <w:rsid w:val="009E436A"/>
    <w:rsid w:val="009E5964"/>
    <w:rsid w:val="009F0192"/>
    <w:rsid w:val="009F0C18"/>
    <w:rsid w:val="009F10E9"/>
    <w:rsid w:val="009F1CFE"/>
    <w:rsid w:val="009F3585"/>
    <w:rsid w:val="009F53CF"/>
    <w:rsid w:val="009F56C9"/>
    <w:rsid w:val="009F5703"/>
    <w:rsid w:val="00A0014A"/>
    <w:rsid w:val="00A03937"/>
    <w:rsid w:val="00A03BE1"/>
    <w:rsid w:val="00A0401E"/>
    <w:rsid w:val="00A04A49"/>
    <w:rsid w:val="00A057BB"/>
    <w:rsid w:val="00A05924"/>
    <w:rsid w:val="00A10095"/>
    <w:rsid w:val="00A112F8"/>
    <w:rsid w:val="00A119FB"/>
    <w:rsid w:val="00A124E5"/>
    <w:rsid w:val="00A12B7A"/>
    <w:rsid w:val="00A15F7B"/>
    <w:rsid w:val="00A1720D"/>
    <w:rsid w:val="00A20791"/>
    <w:rsid w:val="00A207C8"/>
    <w:rsid w:val="00A21DEA"/>
    <w:rsid w:val="00A23B97"/>
    <w:rsid w:val="00A24BCB"/>
    <w:rsid w:val="00A24CAB"/>
    <w:rsid w:val="00A25F5F"/>
    <w:rsid w:val="00A26621"/>
    <w:rsid w:val="00A269FE"/>
    <w:rsid w:val="00A335AF"/>
    <w:rsid w:val="00A33B91"/>
    <w:rsid w:val="00A35705"/>
    <w:rsid w:val="00A3598A"/>
    <w:rsid w:val="00A37352"/>
    <w:rsid w:val="00A37F9F"/>
    <w:rsid w:val="00A40DA0"/>
    <w:rsid w:val="00A41275"/>
    <w:rsid w:val="00A41D2A"/>
    <w:rsid w:val="00A44594"/>
    <w:rsid w:val="00A446D5"/>
    <w:rsid w:val="00A447ED"/>
    <w:rsid w:val="00A44828"/>
    <w:rsid w:val="00A44D91"/>
    <w:rsid w:val="00A44DFE"/>
    <w:rsid w:val="00A500BE"/>
    <w:rsid w:val="00A501B7"/>
    <w:rsid w:val="00A51C54"/>
    <w:rsid w:val="00A52F2C"/>
    <w:rsid w:val="00A534A9"/>
    <w:rsid w:val="00A54969"/>
    <w:rsid w:val="00A54B85"/>
    <w:rsid w:val="00A54D33"/>
    <w:rsid w:val="00A563D2"/>
    <w:rsid w:val="00A608AE"/>
    <w:rsid w:val="00A60986"/>
    <w:rsid w:val="00A60FD0"/>
    <w:rsid w:val="00A614F8"/>
    <w:rsid w:val="00A628C7"/>
    <w:rsid w:val="00A64D5D"/>
    <w:rsid w:val="00A66264"/>
    <w:rsid w:val="00A676EF"/>
    <w:rsid w:val="00A70087"/>
    <w:rsid w:val="00A70272"/>
    <w:rsid w:val="00A70D2B"/>
    <w:rsid w:val="00A72E25"/>
    <w:rsid w:val="00A73AF2"/>
    <w:rsid w:val="00A75D02"/>
    <w:rsid w:val="00A7690B"/>
    <w:rsid w:val="00A76A9C"/>
    <w:rsid w:val="00A76C88"/>
    <w:rsid w:val="00A77F9C"/>
    <w:rsid w:val="00A81277"/>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7D8"/>
    <w:rsid w:val="00AA0B75"/>
    <w:rsid w:val="00AA0C0B"/>
    <w:rsid w:val="00AA0DD5"/>
    <w:rsid w:val="00AA234D"/>
    <w:rsid w:val="00AA3301"/>
    <w:rsid w:val="00AA3734"/>
    <w:rsid w:val="00AA3894"/>
    <w:rsid w:val="00AA5954"/>
    <w:rsid w:val="00AA610C"/>
    <w:rsid w:val="00AA6CE0"/>
    <w:rsid w:val="00AB251C"/>
    <w:rsid w:val="00AB2E0E"/>
    <w:rsid w:val="00AB5832"/>
    <w:rsid w:val="00AB5DA9"/>
    <w:rsid w:val="00AC1167"/>
    <w:rsid w:val="00AC1992"/>
    <w:rsid w:val="00AC30B4"/>
    <w:rsid w:val="00AC359E"/>
    <w:rsid w:val="00AC4AC0"/>
    <w:rsid w:val="00AC6005"/>
    <w:rsid w:val="00AC6467"/>
    <w:rsid w:val="00AC71C1"/>
    <w:rsid w:val="00AC7FF6"/>
    <w:rsid w:val="00AD001F"/>
    <w:rsid w:val="00AD065D"/>
    <w:rsid w:val="00AD4EF0"/>
    <w:rsid w:val="00AD54BC"/>
    <w:rsid w:val="00AD56E2"/>
    <w:rsid w:val="00AD573E"/>
    <w:rsid w:val="00AD5CD4"/>
    <w:rsid w:val="00AD5E79"/>
    <w:rsid w:val="00AD64CE"/>
    <w:rsid w:val="00AD7516"/>
    <w:rsid w:val="00AD76B4"/>
    <w:rsid w:val="00AD7818"/>
    <w:rsid w:val="00AD7999"/>
    <w:rsid w:val="00AE01FA"/>
    <w:rsid w:val="00AE0F46"/>
    <w:rsid w:val="00AE1088"/>
    <w:rsid w:val="00AE1E87"/>
    <w:rsid w:val="00AE28BB"/>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AC1"/>
    <w:rsid w:val="00AF3B59"/>
    <w:rsid w:val="00AF4F89"/>
    <w:rsid w:val="00AF5955"/>
    <w:rsid w:val="00AF5D88"/>
    <w:rsid w:val="00AF6245"/>
    <w:rsid w:val="00AF6938"/>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873"/>
    <w:rsid w:val="00B069EB"/>
    <w:rsid w:val="00B069FE"/>
    <w:rsid w:val="00B06E3F"/>
    <w:rsid w:val="00B07D53"/>
    <w:rsid w:val="00B10524"/>
    <w:rsid w:val="00B106C2"/>
    <w:rsid w:val="00B1115B"/>
    <w:rsid w:val="00B11B22"/>
    <w:rsid w:val="00B11CD2"/>
    <w:rsid w:val="00B12A4A"/>
    <w:rsid w:val="00B132EC"/>
    <w:rsid w:val="00B145EC"/>
    <w:rsid w:val="00B156EE"/>
    <w:rsid w:val="00B16136"/>
    <w:rsid w:val="00B17AEB"/>
    <w:rsid w:val="00B20497"/>
    <w:rsid w:val="00B21123"/>
    <w:rsid w:val="00B217DB"/>
    <w:rsid w:val="00B21CB0"/>
    <w:rsid w:val="00B2264C"/>
    <w:rsid w:val="00B23231"/>
    <w:rsid w:val="00B23290"/>
    <w:rsid w:val="00B246E4"/>
    <w:rsid w:val="00B2627D"/>
    <w:rsid w:val="00B266D5"/>
    <w:rsid w:val="00B26C0C"/>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4DB8"/>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5AE4"/>
    <w:rsid w:val="00B56114"/>
    <w:rsid w:val="00B56186"/>
    <w:rsid w:val="00B574FC"/>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A264D"/>
    <w:rsid w:val="00BA2682"/>
    <w:rsid w:val="00BA3DE2"/>
    <w:rsid w:val="00BA5637"/>
    <w:rsid w:val="00BA7480"/>
    <w:rsid w:val="00BA759C"/>
    <w:rsid w:val="00BA7C7D"/>
    <w:rsid w:val="00BB08F3"/>
    <w:rsid w:val="00BB0FD4"/>
    <w:rsid w:val="00BB1452"/>
    <w:rsid w:val="00BB1C3D"/>
    <w:rsid w:val="00BB2128"/>
    <w:rsid w:val="00BB3FFB"/>
    <w:rsid w:val="00BB4B13"/>
    <w:rsid w:val="00BB5D57"/>
    <w:rsid w:val="00BB62FF"/>
    <w:rsid w:val="00BB7198"/>
    <w:rsid w:val="00BB7226"/>
    <w:rsid w:val="00BB74FC"/>
    <w:rsid w:val="00BB76CC"/>
    <w:rsid w:val="00BB7744"/>
    <w:rsid w:val="00BB7D07"/>
    <w:rsid w:val="00BC037D"/>
    <w:rsid w:val="00BC24E5"/>
    <w:rsid w:val="00BC2E55"/>
    <w:rsid w:val="00BC3520"/>
    <w:rsid w:val="00BC3BD6"/>
    <w:rsid w:val="00BC47F7"/>
    <w:rsid w:val="00BC4C1C"/>
    <w:rsid w:val="00BC5212"/>
    <w:rsid w:val="00BC56A9"/>
    <w:rsid w:val="00BC5DAF"/>
    <w:rsid w:val="00BC62BA"/>
    <w:rsid w:val="00BC67B6"/>
    <w:rsid w:val="00BC6CE5"/>
    <w:rsid w:val="00BC711D"/>
    <w:rsid w:val="00BC72EC"/>
    <w:rsid w:val="00BD0219"/>
    <w:rsid w:val="00BD10B2"/>
    <w:rsid w:val="00BD1A8A"/>
    <w:rsid w:val="00BD2DA6"/>
    <w:rsid w:val="00BD3436"/>
    <w:rsid w:val="00BD649A"/>
    <w:rsid w:val="00BD77F2"/>
    <w:rsid w:val="00BD7AB5"/>
    <w:rsid w:val="00BD7C08"/>
    <w:rsid w:val="00BE0175"/>
    <w:rsid w:val="00BE09BA"/>
    <w:rsid w:val="00BE0D4B"/>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3E5E"/>
    <w:rsid w:val="00BF44DE"/>
    <w:rsid w:val="00BF470E"/>
    <w:rsid w:val="00BF4A64"/>
    <w:rsid w:val="00BF5637"/>
    <w:rsid w:val="00BF730D"/>
    <w:rsid w:val="00BF75A8"/>
    <w:rsid w:val="00BF7864"/>
    <w:rsid w:val="00BF7926"/>
    <w:rsid w:val="00C008B5"/>
    <w:rsid w:val="00C009F9"/>
    <w:rsid w:val="00C017A5"/>
    <w:rsid w:val="00C017FC"/>
    <w:rsid w:val="00C0188B"/>
    <w:rsid w:val="00C018C3"/>
    <w:rsid w:val="00C01FC8"/>
    <w:rsid w:val="00C029C0"/>
    <w:rsid w:val="00C0468B"/>
    <w:rsid w:val="00C046CA"/>
    <w:rsid w:val="00C050FF"/>
    <w:rsid w:val="00C06792"/>
    <w:rsid w:val="00C069E6"/>
    <w:rsid w:val="00C115DD"/>
    <w:rsid w:val="00C12405"/>
    <w:rsid w:val="00C12A54"/>
    <w:rsid w:val="00C1414C"/>
    <w:rsid w:val="00C17988"/>
    <w:rsid w:val="00C20C04"/>
    <w:rsid w:val="00C21FD1"/>
    <w:rsid w:val="00C22FBD"/>
    <w:rsid w:val="00C23DB6"/>
    <w:rsid w:val="00C242D0"/>
    <w:rsid w:val="00C24943"/>
    <w:rsid w:val="00C25EE8"/>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0EF"/>
    <w:rsid w:val="00C46122"/>
    <w:rsid w:val="00C46D5B"/>
    <w:rsid w:val="00C4760D"/>
    <w:rsid w:val="00C50900"/>
    <w:rsid w:val="00C51367"/>
    <w:rsid w:val="00C5178A"/>
    <w:rsid w:val="00C51E48"/>
    <w:rsid w:val="00C53735"/>
    <w:rsid w:val="00C53920"/>
    <w:rsid w:val="00C552E0"/>
    <w:rsid w:val="00C55A5A"/>
    <w:rsid w:val="00C55A5E"/>
    <w:rsid w:val="00C55F4B"/>
    <w:rsid w:val="00C57F3E"/>
    <w:rsid w:val="00C6194C"/>
    <w:rsid w:val="00C61ABA"/>
    <w:rsid w:val="00C62901"/>
    <w:rsid w:val="00C630D1"/>
    <w:rsid w:val="00C63433"/>
    <w:rsid w:val="00C6386D"/>
    <w:rsid w:val="00C64D6E"/>
    <w:rsid w:val="00C6669B"/>
    <w:rsid w:val="00C66E2F"/>
    <w:rsid w:val="00C71440"/>
    <w:rsid w:val="00C714B1"/>
    <w:rsid w:val="00C72C6A"/>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2000"/>
    <w:rsid w:val="00CA4215"/>
    <w:rsid w:val="00CA4D73"/>
    <w:rsid w:val="00CA4D8C"/>
    <w:rsid w:val="00CA4E30"/>
    <w:rsid w:val="00CA4EAA"/>
    <w:rsid w:val="00CA5411"/>
    <w:rsid w:val="00CA7C42"/>
    <w:rsid w:val="00CB1F1B"/>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31FD"/>
    <w:rsid w:val="00CD46DB"/>
    <w:rsid w:val="00CD4915"/>
    <w:rsid w:val="00CD4ACC"/>
    <w:rsid w:val="00CD5610"/>
    <w:rsid w:val="00CD564A"/>
    <w:rsid w:val="00CD6003"/>
    <w:rsid w:val="00CD6583"/>
    <w:rsid w:val="00CD6AA4"/>
    <w:rsid w:val="00CD6FFE"/>
    <w:rsid w:val="00CD7281"/>
    <w:rsid w:val="00CD7FE9"/>
    <w:rsid w:val="00CE056D"/>
    <w:rsid w:val="00CE0779"/>
    <w:rsid w:val="00CE15D0"/>
    <w:rsid w:val="00CE17B6"/>
    <w:rsid w:val="00CE2631"/>
    <w:rsid w:val="00CE3091"/>
    <w:rsid w:val="00CE30D3"/>
    <w:rsid w:val="00CE33C6"/>
    <w:rsid w:val="00CE3EF3"/>
    <w:rsid w:val="00CE52C8"/>
    <w:rsid w:val="00CE62B9"/>
    <w:rsid w:val="00CE7D04"/>
    <w:rsid w:val="00CF05BF"/>
    <w:rsid w:val="00CF08D0"/>
    <w:rsid w:val="00CF0A54"/>
    <w:rsid w:val="00CF108C"/>
    <w:rsid w:val="00CF124C"/>
    <w:rsid w:val="00CF1468"/>
    <w:rsid w:val="00CF1926"/>
    <w:rsid w:val="00CF1FB7"/>
    <w:rsid w:val="00CF369D"/>
    <w:rsid w:val="00CF5441"/>
    <w:rsid w:val="00CF6014"/>
    <w:rsid w:val="00CF73B2"/>
    <w:rsid w:val="00CF7785"/>
    <w:rsid w:val="00CF7ED8"/>
    <w:rsid w:val="00D015C7"/>
    <w:rsid w:val="00D01813"/>
    <w:rsid w:val="00D03BF1"/>
    <w:rsid w:val="00D04252"/>
    <w:rsid w:val="00D04BC7"/>
    <w:rsid w:val="00D04E1B"/>
    <w:rsid w:val="00D0599B"/>
    <w:rsid w:val="00D059E1"/>
    <w:rsid w:val="00D070E7"/>
    <w:rsid w:val="00D11318"/>
    <w:rsid w:val="00D12E50"/>
    <w:rsid w:val="00D12EB0"/>
    <w:rsid w:val="00D1347F"/>
    <w:rsid w:val="00D13663"/>
    <w:rsid w:val="00D14ECE"/>
    <w:rsid w:val="00D15F5C"/>
    <w:rsid w:val="00D163F1"/>
    <w:rsid w:val="00D1653D"/>
    <w:rsid w:val="00D16B91"/>
    <w:rsid w:val="00D17C05"/>
    <w:rsid w:val="00D206FE"/>
    <w:rsid w:val="00D20DFD"/>
    <w:rsid w:val="00D22DFB"/>
    <w:rsid w:val="00D23CED"/>
    <w:rsid w:val="00D242A8"/>
    <w:rsid w:val="00D244FA"/>
    <w:rsid w:val="00D24EFA"/>
    <w:rsid w:val="00D2625B"/>
    <w:rsid w:val="00D27268"/>
    <w:rsid w:val="00D304B3"/>
    <w:rsid w:val="00D31DB3"/>
    <w:rsid w:val="00D32559"/>
    <w:rsid w:val="00D339E7"/>
    <w:rsid w:val="00D33F93"/>
    <w:rsid w:val="00D37336"/>
    <w:rsid w:val="00D37F00"/>
    <w:rsid w:val="00D416B5"/>
    <w:rsid w:val="00D42555"/>
    <w:rsid w:val="00D42870"/>
    <w:rsid w:val="00D42993"/>
    <w:rsid w:val="00D4469C"/>
    <w:rsid w:val="00D45241"/>
    <w:rsid w:val="00D45E54"/>
    <w:rsid w:val="00D4641D"/>
    <w:rsid w:val="00D4678A"/>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6219E"/>
    <w:rsid w:val="00D62C54"/>
    <w:rsid w:val="00D6434F"/>
    <w:rsid w:val="00D66840"/>
    <w:rsid w:val="00D66D0F"/>
    <w:rsid w:val="00D709DA"/>
    <w:rsid w:val="00D70D7F"/>
    <w:rsid w:val="00D71AE8"/>
    <w:rsid w:val="00D72E12"/>
    <w:rsid w:val="00D7349E"/>
    <w:rsid w:val="00D74EE2"/>
    <w:rsid w:val="00D760B8"/>
    <w:rsid w:val="00D765CB"/>
    <w:rsid w:val="00D77124"/>
    <w:rsid w:val="00D77190"/>
    <w:rsid w:val="00D77376"/>
    <w:rsid w:val="00D77569"/>
    <w:rsid w:val="00D80E69"/>
    <w:rsid w:val="00D82858"/>
    <w:rsid w:val="00D82F45"/>
    <w:rsid w:val="00D83A7E"/>
    <w:rsid w:val="00D83DF3"/>
    <w:rsid w:val="00D8467C"/>
    <w:rsid w:val="00D84B1B"/>
    <w:rsid w:val="00D856F1"/>
    <w:rsid w:val="00D877C8"/>
    <w:rsid w:val="00D87FA1"/>
    <w:rsid w:val="00D87FBF"/>
    <w:rsid w:val="00D9052D"/>
    <w:rsid w:val="00D91DCD"/>
    <w:rsid w:val="00D91F2F"/>
    <w:rsid w:val="00D92783"/>
    <w:rsid w:val="00D92841"/>
    <w:rsid w:val="00D933A6"/>
    <w:rsid w:val="00D94426"/>
    <w:rsid w:val="00D95922"/>
    <w:rsid w:val="00D961A9"/>
    <w:rsid w:val="00D969F0"/>
    <w:rsid w:val="00D973FD"/>
    <w:rsid w:val="00D97615"/>
    <w:rsid w:val="00DA11DE"/>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D5B"/>
    <w:rsid w:val="00DB75BA"/>
    <w:rsid w:val="00DC0875"/>
    <w:rsid w:val="00DC0D99"/>
    <w:rsid w:val="00DC1FE8"/>
    <w:rsid w:val="00DC2A97"/>
    <w:rsid w:val="00DC2B99"/>
    <w:rsid w:val="00DC36C0"/>
    <w:rsid w:val="00DC3E29"/>
    <w:rsid w:val="00DC3E65"/>
    <w:rsid w:val="00DC44E6"/>
    <w:rsid w:val="00DC5357"/>
    <w:rsid w:val="00DC5415"/>
    <w:rsid w:val="00DC5584"/>
    <w:rsid w:val="00DC5617"/>
    <w:rsid w:val="00DC7419"/>
    <w:rsid w:val="00DD0CDB"/>
    <w:rsid w:val="00DD1881"/>
    <w:rsid w:val="00DD1C19"/>
    <w:rsid w:val="00DD1D64"/>
    <w:rsid w:val="00DD2437"/>
    <w:rsid w:val="00DD2986"/>
    <w:rsid w:val="00DD632D"/>
    <w:rsid w:val="00DD6403"/>
    <w:rsid w:val="00DD7D59"/>
    <w:rsid w:val="00DE08FC"/>
    <w:rsid w:val="00DE2B6F"/>
    <w:rsid w:val="00DE3494"/>
    <w:rsid w:val="00DF11C3"/>
    <w:rsid w:val="00DF16F2"/>
    <w:rsid w:val="00DF39E2"/>
    <w:rsid w:val="00DF4066"/>
    <w:rsid w:val="00DF4130"/>
    <w:rsid w:val="00DF530A"/>
    <w:rsid w:val="00DF639F"/>
    <w:rsid w:val="00DF68A8"/>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2AB"/>
    <w:rsid w:val="00E1562E"/>
    <w:rsid w:val="00E16CE9"/>
    <w:rsid w:val="00E16E16"/>
    <w:rsid w:val="00E1713E"/>
    <w:rsid w:val="00E17455"/>
    <w:rsid w:val="00E22059"/>
    <w:rsid w:val="00E222DB"/>
    <w:rsid w:val="00E226A5"/>
    <w:rsid w:val="00E230BD"/>
    <w:rsid w:val="00E23F4C"/>
    <w:rsid w:val="00E24B77"/>
    <w:rsid w:val="00E258E8"/>
    <w:rsid w:val="00E25D17"/>
    <w:rsid w:val="00E268B6"/>
    <w:rsid w:val="00E2710F"/>
    <w:rsid w:val="00E279EE"/>
    <w:rsid w:val="00E305AE"/>
    <w:rsid w:val="00E30AB4"/>
    <w:rsid w:val="00E31144"/>
    <w:rsid w:val="00E31CAB"/>
    <w:rsid w:val="00E31DDF"/>
    <w:rsid w:val="00E31E8B"/>
    <w:rsid w:val="00E32DCC"/>
    <w:rsid w:val="00E32FDB"/>
    <w:rsid w:val="00E330FA"/>
    <w:rsid w:val="00E33591"/>
    <w:rsid w:val="00E33B34"/>
    <w:rsid w:val="00E3498D"/>
    <w:rsid w:val="00E35CC7"/>
    <w:rsid w:val="00E3639D"/>
    <w:rsid w:val="00E3700A"/>
    <w:rsid w:val="00E37D66"/>
    <w:rsid w:val="00E40BCE"/>
    <w:rsid w:val="00E40DDB"/>
    <w:rsid w:val="00E43599"/>
    <w:rsid w:val="00E43EA4"/>
    <w:rsid w:val="00E45E17"/>
    <w:rsid w:val="00E45EFE"/>
    <w:rsid w:val="00E46ACF"/>
    <w:rsid w:val="00E51351"/>
    <w:rsid w:val="00E52015"/>
    <w:rsid w:val="00E5348E"/>
    <w:rsid w:val="00E537A2"/>
    <w:rsid w:val="00E5381F"/>
    <w:rsid w:val="00E545B1"/>
    <w:rsid w:val="00E5472D"/>
    <w:rsid w:val="00E5554B"/>
    <w:rsid w:val="00E559F3"/>
    <w:rsid w:val="00E56407"/>
    <w:rsid w:val="00E56990"/>
    <w:rsid w:val="00E57E3D"/>
    <w:rsid w:val="00E600FA"/>
    <w:rsid w:val="00E60A70"/>
    <w:rsid w:val="00E62258"/>
    <w:rsid w:val="00E6267F"/>
    <w:rsid w:val="00E633AF"/>
    <w:rsid w:val="00E635B7"/>
    <w:rsid w:val="00E635CF"/>
    <w:rsid w:val="00E637D0"/>
    <w:rsid w:val="00E63BD4"/>
    <w:rsid w:val="00E64756"/>
    <w:rsid w:val="00E64CBE"/>
    <w:rsid w:val="00E679C3"/>
    <w:rsid w:val="00E70949"/>
    <w:rsid w:val="00E72E2A"/>
    <w:rsid w:val="00E7372B"/>
    <w:rsid w:val="00E739E7"/>
    <w:rsid w:val="00E73F8C"/>
    <w:rsid w:val="00E7404F"/>
    <w:rsid w:val="00E758FE"/>
    <w:rsid w:val="00E76BDA"/>
    <w:rsid w:val="00E77A6F"/>
    <w:rsid w:val="00E77ADE"/>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3A68"/>
    <w:rsid w:val="00E94B8E"/>
    <w:rsid w:val="00E95E58"/>
    <w:rsid w:val="00E95FBC"/>
    <w:rsid w:val="00E960A9"/>
    <w:rsid w:val="00EA0641"/>
    <w:rsid w:val="00EA0D1C"/>
    <w:rsid w:val="00EA14FD"/>
    <w:rsid w:val="00EA1846"/>
    <w:rsid w:val="00EA2441"/>
    <w:rsid w:val="00EA2A7C"/>
    <w:rsid w:val="00EA33A0"/>
    <w:rsid w:val="00EA435A"/>
    <w:rsid w:val="00EA5EC1"/>
    <w:rsid w:val="00EA6300"/>
    <w:rsid w:val="00EA668D"/>
    <w:rsid w:val="00EA78CE"/>
    <w:rsid w:val="00EA7BB5"/>
    <w:rsid w:val="00EB1149"/>
    <w:rsid w:val="00EB1EB2"/>
    <w:rsid w:val="00EB4619"/>
    <w:rsid w:val="00EB4C95"/>
    <w:rsid w:val="00EB53A0"/>
    <w:rsid w:val="00EB60F4"/>
    <w:rsid w:val="00EB647E"/>
    <w:rsid w:val="00EB68ED"/>
    <w:rsid w:val="00EB6AA0"/>
    <w:rsid w:val="00EC21F1"/>
    <w:rsid w:val="00EC2414"/>
    <w:rsid w:val="00EC2E97"/>
    <w:rsid w:val="00EC3309"/>
    <w:rsid w:val="00EC3677"/>
    <w:rsid w:val="00EC37E3"/>
    <w:rsid w:val="00EC3BDE"/>
    <w:rsid w:val="00EC3F9D"/>
    <w:rsid w:val="00EC5615"/>
    <w:rsid w:val="00EC6E4F"/>
    <w:rsid w:val="00ED04F9"/>
    <w:rsid w:val="00ED0C85"/>
    <w:rsid w:val="00ED18E7"/>
    <w:rsid w:val="00ED1E97"/>
    <w:rsid w:val="00ED1FA9"/>
    <w:rsid w:val="00ED2173"/>
    <w:rsid w:val="00ED228C"/>
    <w:rsid w:val="00ED2480"/>
    <w:rsid w:val="00ED272E"/>
    <w:rsid w:val="00ED291C"/>
    <w:rsid w:val="00ED4448"/>
    <w:rsid w:val="00ED5267"/>
    <w:rsid w:val="00ED5B55"/>
    <w:rsid w:val="00ED5FD7"/>
    <w:rsid w:val="00ED6C06"/>
    <w:rsid w:val="00ED71FB"/>
    <w:rsid w:val="00ED79FB"/>
    <w:rsid w:val="00ED7B2A"/>
    <w:rsid w:val="00EE0926"/>
    <w:rsid w:val="00EE2B0D"/>
    <w:rsid w:val="00EE3DFF"/>
    <w:rsid w:val="00EE5040"/>
    <w:rsid w:val="00EE53A1"/>
    <w:rsid w:val="00EE5B3B"/>
    <w:rsid w:val="00EE7AFA"/>
    <w:rsid w:val="00EF0970"/>
    <w:rsid w:val="00EF1BD8"/>
    <w:rsid w:val="00EF1C35"/>
    <w:rsid w:val="00EF25F5"/>
    <w:rsid w:val="00EF2D5A"/>
    <w:rsid w:val="00EF2EF4"/>
    <w:rsid w:val="00EF333E"/>
    <w:rsid w:val="00EF3642"/>
    <w:rsid w:val="00EF4168"/>
    <w:rsid w:val="00EF4E8E"/>
    <w:rsid w:val="00EF4FA4"/>
    <w:rsid w:val="00EF618A"/>
    <w:rsid w:val="00EF72D9"/>
    <w:rsid w:val="00EF77CB"/>
    <w:rsid w:val="00F003C7"/>
    <w:rsid w:val="00F00804"/>
    <w:rsid w:val="00F00FC4"/>
    <w:rsid w:val="00F02EC6"/>
    <w:rsid w:val="00F03B91"/>
    <w:rsid w:val="00F0523E"/>
    <w:rsid w:val="00F0588F"/>
    <w:rsid w:val="00F05AF8"/>
    <w:rsid w:val="00F0657C"/>
    <w:rsid w:val="00F068A4"/>
    <w:rsid w:val="00F06D85"/>
    <w:rsid w:val="00F102FE"/>
    <w:rsid w:val="00F1374E"/>
    <w:rsid w:val="00F13AC7"/>
    <w:rsid w:val="00F14667"/>
    <w:rsid w:val="00F163A8"/>
    <w:rsid w:val="00F17EDB"/>
    <w:rsid w:val="00F203C2"/>
    <w:rsid w:val="00F203CD"/>
    <w:rsid w:val="00F20674"/>
    <w:rsid w:val="00F206EA"/>
    <w:rsid w:val="00F2131C"/>
    <w:rsid w:val="00F232D2"/>
    <w:rsid w:val="00F239F8"/>
    <w:rsid w:val="00F23BAC"/>
    <w:rsid w:val="00F247B0"/>
    <w:rsid w:val="00F24DFC"/>
    <w:rsid w:val="00F25FD4"/>
    <w:rsid w:val="00F26B5C"/>
    <w:rsid w:val="00F26CDF"/>
    <w:rsid w:val="00F2734F"/>
    <w:rsid w:val="00F302B6"/>
    <w:rsid w:val="00F312CD"/>
    <w:rsid w:val="00F315CB"/>
    <w:rsid w:val="00F319E9"/>
    <w:rsid w:val="00F327E0"/>
    <w:rsid w:val="00F32A48"/>
    <w:rsid w:val="00F333AF"/>
    <w:rsid w:val="00F333FC"/>
    <w:rsid w:val="00F3394A"/>
    <w:rsid w:val="00F341E4"/>
    <w:rsid w:val="00F359DD"/>
    <w:rsid w:val="00F35EF7"/>
    <w:rsid w:val="00F35FF8"/>
    <w:rsid w:val="00F3611A"/>
    <w:rsid w:val="00F368C5"/>
    <w:rsid w:val="00F40012"/>
    <w:rsid w:val="00F40EE7"/>
    <w:rsid w:val="00F41811"/>
    <w:rsid w:val="00F429BD"/>
    <w:rsid w:val="00F44FEA"/>
    <w:rsid w:val="00F46F70"/>
    <w:rsid w:val="00F5093A"/>
    <w:rsid w:val="00F51957"/>
    <w:rsid w:val="00F52DAB"/>
    <w:rsid w:val="00F5393B"/>
    <w:rsid w:val="00F53C78"/>
    <w:rsid w:val="00F54E83"/>
    <w:rsid w:val="00F602A3"/>
    <w:rsid w:val="00F603ED"/>
    <w:rsid w:val="00F61061"/>
    <w:rsid w:val="00F6167B"/>
    <w:rsid w:val="00F61E76"/>
    <w:rsid w:val="00F61F47"/>
    <w:rsid w:val="00F63332"/>
    <w:rsid w:val="00F64C68"/>
    <w:rsid w:val="00F65DAD"/>
    <w:rsid w:val="00F6617A"/>
    <w:rsid w:val="00F67C85"/>
    <w:rsid w:val="00F703AD"/>
    <w:rsid w:val="00F71612"/>
    <w:rsid w:val="00F724B2"/>
    <w:rsid w:val="00F72882"/>
    <w:rsid w:val="00F72FF9"/>
    <w:rsid w:val="00F755F7"/>
    <w:rsid w:val="00F7577A"/>
    <w:rsid w:val="00F75D6F"/>
    <w:rsid w:val="00F7645F"/>
    <w:rsid w:val="00F76D12"/>
    <w:rsid w:val="00F8126B"/>
    <w:rsid w:val="00F81D40"/>
    <w:rsid w:val="00F81EBF"/>
    <w:rsid w:val="00F8292F"/>
    <w:rsid w:val="00F836FC"/>
    <w:rsid w:val="00F8370D"/>
    <w:rsid w:val="00F83B52"/>
    <w:rsid w:val="00F85728"/>
    <w:rsid w:val="00F857C0"/>
    <w:rsid w:val="00F866E3"/>
    <w:rsid w:val="00F879E7"/>
    <w:rsid w:val="00F90107"/>
    <w:rsid w:val="00F90244"/>
    <w:rsid w:val="00F903D1"/>
    <w:rsid w:val="00F918A8"/>
    <w:rsid w:val="00F93ED9"/>
    <w:rsid w:val="00F95080"/>
    <w:rsid w:val="00F952EB"/>
    <w:rsid w:val="00F9599A"/>
    <w:rsid w:val="00F96474"/>
    <w:rsid w:val="00F971F3"/>
    <w:rsid w:val="00F97DC2"/>
    <w:rsid w:val="00F97E6D"/>
    <w:rsid w:val="00FA0168"/>
    <w:rsid w:val="00FA1C55"/>
    <w:rsid w:val="00FA2915"/>
    <w:rsid w:val="00FA496E"/>
    <w:rsid w:val="00FA5A65"/>
    <w:rsid w:val="00FA605F"/>
    <w:rsid w:val="00FA64FE"/>
    <w:rsid w:val="00FA6507"/>
    <w:rsid w:val="00FA66D8"/>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2728"/>
    <w:rsid w:val="00FC342E"/>
    <w:rsid w:val="00FC43FD"/>
    <w:rsid w:val="00FC490A"/>
    <w:rsid w:val="00FC61DA"/>
    <w:rsid w:val="00FC63B1"/>
    <w:rsid w:val="00FC6943"/>
    <w:rsid w:val="00FC7291"/>
    <w:rsid w:val="00FC75A1"/>
    <w:rsid w:val="00FD0635"/>
    <w:rsid w:val="00FD2751"/>
    <w:rsid w:val="00FD2D76"/>
    <w:rsid w:val="00FD43B1"/>
    <w:rsid w:val="00FD4731"/>
    <w:rsid w:val="00FD5B20"/>
    <w:rsid w:val="00FD7E4E"/>
    <w:rsid w:val="00FE2438"/>
    <w:rsid w:val="00FE376A"/>
    <w:rsid w:val="00FE6B6F"/>
    <w:rsid w:val="00FF0842"/>
    <w:rsid w:val="00FF1172"/>
    <w:rsid w:val="00FF12A0"/>
    <w:rsid w:val="00FF1619"/>
    <w:rsid w:val="00FF1630"/>
    <w:rsid w:val="00FF16DE"/>
    <w:rsid w:val="00FF1E3E"/>
    <w:rsid w:val="00FF232F"/>
    <w:rsid w:val="00FF4110"/>
    <w:rsid w:val="00FF78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5EA5B"/>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7C6716"/>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qFormat/>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qFormat/>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84364C"/>
    <w:rPr>
      <w:rFonts w:ascii="Arial" w:eastAsia="SimSun" w:hAnsi="Arial" w:cs="Times New Roman"/>
      <w:sz w:val="18"/>
      <w:szCs w:val="20"/>
      <w:lang w:val="en-GB" w:eastAsia="en-US"/>
    </w:rPr>
  </w:style>
  <w:style w:type="character" w:customStyle="1" w:styleId="TALCar">
    <w:name w:val="TAL Car"/>
    <w:qFormat/>
    <w:rsid w:val="006F356F"/>
    <w:rPr>
      <w:rFonts w:ascii="Arial" w:eastAsia="Times New Roman" w:hAnsi="Arial"/>
      <w:sz w:val="18"/>
    </w:rPr>
  </w:style>
  <w:style w:type="paragraph" w:styleId="BodyText">
    <w:name w:val="Body Text"/>
    <w:basedOn w:val="Normal"/>
    <w:link w:val="BodyTextChar"/>
    <w:rsid w:val="00216D45"/>
    <w:pPr>
      <w:overflowPunct/>
      <w:autoSpaceDE/>
      <w:autoSpaceDN/>
      <w:adjustRightInd/>
      <w:textAlignment w:val="auto"/>
    </w:pPr>
    <w:rPr>
      <w:rFonts w:eastAsia="SimSun"/>
      <w:lang w:eastAsia="en-US"/>
    </w:rPr>
  </w:style>
  <w:style w:type="character" w:customStyle="1" w:styleId="BodyTextChar">
    <w:name w:val="Body Text Char"/>
    <w:basedOn w:val="DefaultParagraphFont"/>
    <w:link w:val="BodyText"/>
    <w:rsid w:val="00216D45"/>
    <w:rPr>
      <w:rFonts w:ascii="Times New Roman" w:eastAsia="SimSun" w:hAnsi="Times New Roman" w:cs="Times New Roman"/>
      <w:sz w:val="20"/>
      <w:szCs w:val="20"/>
      <w:lang w:val="en-GB" w:eastAsia="en-US"/>
    </w:rPr>
  </w:style>
  <w:style w:type="paragraph" w:customStyle="1" w:styleId="Agreement">
    <w:name w:val="Agreement"/>
    <w:basedOn w:val="Normal"/>
    <w:next w:val="Normal"/>
    <w:uiPriority w:val="99"/>
    <w:qFormat/>
    <w:rsid w:val="007F7A52"/>
    <w:pPr>
      <w:numPr>
        <w:numId w:val="10"/>
      </w:numPr>
      <w:tabs>
        <w:tab w:val="num" w:pos="1619"/>
      </w:tabs>
      <w:spacing w:before="60" w:after="0"/>
      <w:ind w:left="1616" w:hanging="357"/>
    </w:pPr>
    <w:rPr>
      <w:rFonts w:ascii="Arial" w:hAnsi="Arial"/>
      <w:b/>
      <w:lang w:eastAsia="ja-JP"/>
    </w:rPr>
  </w:style>
  <w:style w:type="character" w:customStyle="1" w:styleId="apple-converted-space">
    <w:name w:val="apple-converted-space"/>
    <w:rsid w:val="00E32FDB"/>
  </w:style>
  <w:style w:type="paragraph" w:customStyle="1" w:styleId="EW">
    <w:name w:val="EW"/>
    <w:basedOn w:val="Normal"/>
    <w:qFormat/>
    <w:rsid w:val="00937A51"/>
    <w:pPr>
      <w:keepLines/>
      <w:overflowPunct/>
      <w:autoSpaceDE/>
      <w:autoSpaceDN/>
      <w:adjustRightInd/>
      <w:spacing w:after="0"/>
      <w:ind w:left="1702" w:hanging="1418"/>
      <w:textAlignment w:val="auto"/>
    </w:pPr>
    <w:rPr>
      <w:rFonts w:eastAsia="SimSun"/>
      <w:lang w:eastAsia="en-US"/>
    </w:rPr>
  </w:style>
  <w:style w:type="character" w:customStyle="1" w:styleId="Heading5Char">
    <w:name w:val="Heading 5 Char"/>
    <w:basedOn w:val="DefaultParagraphFont"/>
    <w:link w:val="Heading5"/>
    <w:uiPriority w:val="9"/>
    <w:semiHidden/>
    <w:rsid w:val="007C6716"/>
    <w:rPr>
      <w:rFonts w:asciiTheme="majorHAnsi" w:eastAsiaTheme="majorEastAsia" w:hAnsiTheme="majorHAnsi" w:cstheme="majorBidi"/>
      <w:b/>
      <w:bCs/>
      <w:sz w:val="36"/>
      <w:szCs w:val="3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008">
      <w:bodyDiv w:val="1"/>
      <w:marLeft w:val="0"/>
      <w:marRight w:val="0"/>
      <w:marTop w:val="0"/>
      <w:marBottom w:val="0"/>
      <w:divBdr>
        <w:top w:val="none" w:sz="0" w:space="0" w:color="auto"/>
        <w:left w:val="none" w:sz="0" w:space="0" w:color="auto"/>
        <w:bottom w:val="none" w:sz="0" w:space="0" w:color="auto"/>
        <w:right w:val="none" w:sz="0" w:space="0" w:color="auto"/>
      </w:divBdr>
      <w:divsChild>
        <w:div w:id="1900825288">
          <w:marLeft w:val="547"/>
          <w:marRight w:val="0"/>
          <w:marTop w:val="120"/>
          <w:marBottom w:val="0"/>
          <w:divBdr>
            <w:top w:val="none" w:sz="0" w:space="0" w:color="auto"/>
            <w:left w:val="none" w:sz="0" w:space="0" w:color="auto"/>
            <w:bottom w:val="none" w:sz="0" w:space="0" w:color="auto"/>
            <w:right w:val="none" w:sz="0" w:space="0" w:color="auto"/>
          </w:divBdr>
        </w:div>
        <w:div w:id="1506281000">
          <w:marLeft w:val="1166"/>
          <w:marRight w:val="0"/>
          <w:marTop w:val="106"/>
          <w:marBottom w:val="0"/>
          <w:divBdr>
            <w:top w:val="none" w:sz="0" w:space="0" w:color="auto"/>
            <w:left w:val="none" w:sz="0" w:space="0" w:color="auto"/>
            <w:bottom w:val="none" w:sz="0" w:space="0" w:color="auto"/>
            <w:right w:val="none" w:sz="0" w:space="0" w:color="auto"/>
          </w:divBdr>
        </w:div>
        <w:div w:id="2076782747">
          <w:marLeft w:val="1800"/>
          <w:marRight w:val="0"/>
          <w:marTop w:val="91"/>
          <w:marBottom w:val="0"/>
          <w:divBdr>
            <w:top w:val="none" w:sz="0" w:space="0" w:color="auto"/>
            <w:left w:val="none" w:sz="0" w:space="0" w:color="auto"/>
            <w:bottom w:val="none" w:sz="0" w:space="0" w:color="auto"/>
            <w:right w:val="none" w:sz="0" w:space="0" w:color="auto"/>
          </w:divBdr>
        </w:div>
        <w:div w:id="1335765882">
          <w:marLeft w:val="1800"/>
          <w:marRight w:val="0"/>
          <w:marTop w:val="91"/>
          <w:marBottom w:val="0"/>
          <w:divBdr>
            <w:top w:val="none" w:sz="0" w:space="0" w:color="auto"/>
            <w:left w:val="none" w:sz="0" w:space="0" w:color="auto"/>
            <w:bottom w:val="none" w:sz="0" w:space="0" w:color="auto"/>
            <w:right w:val="none" w:sz="0" w:space="0" w:color="auto"/>
          </w:divBdr>
        </w:div>
        <w:div w:id="1098407679">
          <w:marLeft w:val="1800"/>
          <w:marRight w:val="0"/>
          <w:marTop w:val="91"/>
          <w:marBottom w:val="0"/>
          <w:divBdr>
            <w:top w:val="none" w:sz="0" w:space="0" w:color="auto"/>
            <w:left w:val="none" w:sz="0" w:space="0" w:color="auto"/>
            <w:bottom w:val="none" w:sz="0" w:space="0" w:color="auto"/>
            <w:right w:val="none" w:sz="0" w:space="0" w:color="auto"/>
          </w:divBdr>
        </w:div>
        <w:div w:id="1461610527">
          <w:marLeft w:val="1166"/>
          <w:marRight w:val="0"/>
          <w:marTop w:val="106"/>
          <w:marBottom w:val="0"/>
          <w:divBdr>
            <w:top w:val="none" w:sz="0" w:space="0" w:color="auto"/>
            <w:left w:val="none" w:sz="0" w:space="0" w:color="auto"/>
            <w:bottom w:val="none" w:sz="0" w:space="0" w:color="auto"/>
            <w:right w:val="none" w:sz="0" w:space="0" w:color="auto"/>
          </w:divBdr>
        </w:div>
        <w:div w:id="813834124">
          <w:marLeft w:val="1166"/>
          <w:marRight w:val="0"/>
          <w:marTop w:val="106"/>
          <w:marBottom w:val="0"/>
          <w:divBdr>
            <w:top w:val="none" w:sz="0" w:space="0" w:color="auto"/>
            <w:left w:val="none" w:sz="0" w:space="0" w:color="auto"/>
            <w:bottom w:val="none" w:sz="0" w:space="0" w:color="auto"/>
            <w:right w:val="none" w:sz="0" w:space="0" w:color="auto"/>
          </w:divBdr>
        </w:div>
        <w:div w:id="450780902">
          <w:marLeft w:val="547"/>
          <w:marRight w:val="0"/>
          <w:marTop w:val="120"/>
          <w:marBottom w:val="0"/>
          <w:divBdr>
            <w:top w:val="none" w:sz="0" w:space="0" w:color="auto"/>
            <w:left w:val="none" w:sz="0" w:space="0" w:color="auto"/>
            <w:bottom w:val="none" w:sz="0" w:space="0" w:color="auto"/>
            <w:right w:val="none" w:sz="0" w:space="0" w:color="auto"/>
          </w:divBdr>
        </w:div>
        <w:div w:id="259147205">
          <w:marLeft w:val="1166"/>
          <w:marRight w:val="0"/>
          <w:marTop w:val="106"/>
          <w:marBottom w:val="0"/>
          <w:divBdr>
            <w:top w:val="none" w:sz="0" w:space="0" w:color="auto"/>
            <w:left w:val="none" w:sz="0" w:space="0" w:color="auto"/>
            <w:bottom w:val="none" w:sz="0" w:space="0" w:color="auto"/>
            <w:right w:val="none" w:sz="0" w:space="0" w:color="auto"/>
          </w:divBdr>
        </w:div>
        <w:div w:id="310212898">
          <w:marLeft w:val="1166"/>
          <w:marRight w:val="0"/>
          <w:marTop w:val="106"/>
          <w:marBottom w:val="0"/>
          <w:divBdr>
            <w:top w:val="none" w:sz="0" w:space="0" w:color="auto"/>
            <w:left w:val="none" w:sz="0" w:space="0" w:color="auto"/>
            <w:bottom w:val="none" w:sz="0" w:space="0" w:color="auto"/>
            <w:right w:val="none" w:sz="0" w:space="0" w:color="auto"/>
          </w:divBdr>
        </w:div>
        <w:div w:id="746731922">
          <w:marLeft w:val="1166"/>
          <w:marRight w:val="0"/>
          <w:marTop w:val="106"/>
          <w:marBottom w:val="0"/>
          <w:divBdr>
            <w:top w:val="none" w:sz="0" w:space="0" w:color="auto"/>
            <w:left w:val="none" w:sz="0" w:space="0" w:color="auto"/>
            <w:bottom w:val="none" w:sz="0" w:space="0" w:color="auto"/>
            <w:right w:val="none" w:sz="0" w:space="0" w:color="auto"/>
          </w:divBdr>
        </w:div>
        <w:div w:id="309873134">
          <w:marLeft w:val="1166"/>
          <w:marRight w:val="0"/>
          <w:marTop w:val="106"/>
          <w:marBottom w:val="0"/>
          <w:divBdr>
            <w:top w:val="none" w:sz="0" w:space="0" w:color="auto"/>
            <w:left w:val="none" w:sz="0" w:space="0" w:color="auto"/>
            <w:bottom w:val="none" w:sz="0" w:space="0" w:color="auto"/>
            <w:right w:val="none" w:sz="0" w:space="0" w:color="auto"/>
          </w:divBdr>
        </w:div>
        <w:div w:id="244343088">
          <w:marLeft w:val="1166"/>
          <w:marRight w:val="0"/>
          <w:marTop w:val="106"/>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12949136">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0">
          <w:marLeft w:val="547"/>
          <w:marRight w:val="0"/>
          <w:marTop w:val="154"/>
          <w:marBottom w:val="0"/>
          <w:divBdr>
            <w:top w:val="none" w:sz="0" w:space="0" w:color="auto"/>
            <w:left w:val="none" w:sz="0" w:space="0" w:color="auto"/>
            <w:bottom w:val="none" w:sz="0" w:space="0" w:color="auto"/>
            <w:right w:val="none" w:sz="0" w:space="0" w:color="auto"/>
          </w:divBdr>
        </w:div>
        <w:div w:id="1771775262">
          <w:marLeft w:val="1166"/>
          <w:marRight w:val="0"/>
          <w:marTop w:val="134"/>
          <w:marBottom w:val="0"/>
          <w:divBdr>
            <w:top w:val="none" w:sz="0" w:space="0" w:color="auto"/>
            <w:left w:val="none" w:sz="0" w:space="0" w:color="auto"/>
            <w:bottom w:val="none" w:sz="0" w:space="0" w:color="auto"/>
            <w:right w:val="none" w:sz="0" w:space="0" w:color="auto"/>
          </w:divBdr>
        </w:div>
        <w:div w:id="1312325333">
          <w:marLeft w:val="1166"/>
          <w:marRight w:val="0"/>
          <w:marTop w:val="134"/>
          <w:marBottom w:val="0"/>
          <w:divBdr>
            <w:top w:val="none" w:sz="0" w:space="0" w:color="auto"/>
            <w:left w:val="none" w:sz="0" w:space="0" w:color="auto"/>
            <w:bottom w:val="none" w:sz="0" w:space="0" w:color="auto"/>
            <w:right w:val="none" w:sz="0" w:space="0" w:color="auto"/>
          </w:divBdr>
        </w:div>
        <w:div w:id="1980644795">
          <w:marLeft w:val="1166"/>
          <w:marRight w:val="0"/>
          <w:marTop w:val="134"/>
          <w:marBottom w:val="0"/>
          <w:divBdr>
            <w:top w:val="none" w:sz="0" w:space="0" w:color="auto"/>
            <w:left w:val="none" w:sz="0" w:space="0" w:color="auto"/>
            <w:bottom w:val="none" w:sz="0" w:space="0" w:color="auto"/>
            <w:right w:val="none" w:sz="0" w:space="0" w:color="auto"/>
          </w:divBdr>
        </w:div>
        <w:div w:id="325935157">
          <w:marLeft w:val="547"/>
          <w:marRight w:val="0"/>
          <w:marTop w:val="154"/>
          <w:marBottom w:val="0"/>
          <w:divBdr>
            <w:top w:val="none" w:sz="0" w:space="0" w:color="auto"/>
            <w:left w:val="none" w:sz="0" w:space="0" w:color="auto"/>
            <w:bottom w:val="none" w:sz="0" w:space="0" w:color="auto"/>
            <w:right w:val="none" w:sz="0" w:space="0" w:color="auto"/>
          </w:divBdr>
        </w:div>
        <w:div w:id="1829512895">
          <w:marLeft w:val="1166"/>
          <w:marRight w:val="0"/>
          <w:marTop w:val="134"/>
          <w:marBottom w:val="0"/>
          <w:divBdr>
            <w:top w:val="none" w:sz="0" w:space="0" w:color="auto"/>
            <w:left w:val="none" w:sz="0" w:space="0" w:color="auto"/>
            <w:bottom w:val="none" w:sz="0" w:space="0" w:color="auto"/>
            <w:right w:val="none" w:sz="0" w:space="0" w:color="auto"/>
          </w:divBdr>
        </w:div>
      </w:divsChild>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46449118">
      <w:bodyDiv w:val="1"/>
      <w:marLeft w:val="0"/>
      <w:marRight w:val="0"/>
      <w:marTop w:val="0"/>
      <w:marBottom w:val="0"/>
      <w:divBdr>
        <w:top w:val="none" w:sz="0" w:space="0" w:color="auto"/>
        <w:left w:val="none" w:sz="0" w:space="0" w:color="auto"/>
        <w:bottom w:val="none" w:sz="0" w:space="0" w:color="auto"/>
        <w:right w:val="none" w:sz="0" w:space="0" w:color="auto"/>
      </w:divBdr>
      <w:divsChild>
        <w:div w:id="259460628">
          <w:marLeft w:val="0"/>
          <w:marRight w:val="0"/>
          <w:marTop w:val="0"/>
          <w:marBottom w:val="0"/>
          <w:divBdr>
            <w:top w:val="none" w:sz="0" w:space="0" w:color="auto"/>
            <w:left w:val="none" w:sz="0" w:space="0" w:color="auto"/>
            <w:bottom w:val="none" w:sz="0" w:space="0" w:color="auto"/>
            <w:right w:val="none" w:sz="0" w:space="0" w:color="auto"/>
          </w:divBdr>
        </w:div>
      </w:divsChild>
    </w:div>
    <w:div w:id="385185410">
      <w:bodyDiv w:val="1"/>
      <w:marLeft w:val="0"/>
      <w:marRight w:val="0"/>
      <w:marTop w:val="0"/>
      <w:marBottom w:val="0"/>
      <w:divBdr>
        <w:top w:val="none" w:sz="0" w:space="0" w:color="auto"/>
        <w:left w:val="none" w:sz="0" w:space="0" w:color="auto"/>
        <w:bottom w:val="none" w:sz="0" w:space="0" w:color="auto"/>
        <w:right w:val="none" w:sz="0" w:space="0" w:color="auto"/>
      </w:divBdr>
      <w:divsChild>
        <w:div w:id="1126123535">
          <w:marLeft w:val="547"/>
          <w:marRight w:val="0"/>
          <w:marTop w:val="144"/>
          <w:marBottom w:val="0"/>
          <w:divBdr>
            <w:top w:val="none" w:sz="0" w:space="0" w:color="auto"/>
            <w:left w:val="none" w:sz="0" w:space="0" w:color="auto"/>
            <w:bottom w:val="none" w:sz="0" w:space="0" w:color="auto"/>
            <w:right w:val="none" w:sz="0" w:space="0" w:color="auto"/>
          </w:divBdr>
        </w:div>
        <w:div w:id="241647693">
          <w:marLeft w:val="1166"/>
          <w:marRight w:val="0"/>
          <w:marTop w:val="125"/>
          <w:marBottom w:val="0"/>
          <w:divBdr>
            <w:top w:val="none" w:sz="0" w:space="0" w:color="auto"/>
            <w:left w:val="none" w:sz="0" w:space="0" w:color="auto"/>
            <w:bottom w:val="none" w:sz="0" w:space="0" w:color="auto"/>
            <w:right w:val="none" w:sz="0" w:space="0" w:color="auto"/>
          </w:divBdr>
        </w:div>
        <w:div w:id="2007592432">
          <w:marLeft w:val="547"/>
          <w:marRight w:val="0"/>
          <w:marTop w:val="144"/>
          <w:marBottom w:val="0"/>
          <w:divBdr>
            <w:top w:val="none" w:sz="0" w:space="0" w:color="auto"/>
            <w:left w:val="none" w:sz="0" w:space="0" w:color="auto"/>
            <w:bottom w:val="none" w:sz="0" w:space="0" w:color="auto"/>
            <w:right w:val="none" w:sz="0" w:space="0" w:color="auto"/>
          </w:divBdr>
        </w:div>
        <w:div w:id="1808739711">
          <w:marLeft w:val="1166"/>
          <w:marRight w:val="0"/>
          <w:marTop w:val="125"/>
          <w:marBottom w:val="0"/>
          <w:divBdr>
            <w:top w:val="none" w:sz="0" w:space="0" w:color="auto"/>
            <w:left w:val="none" w:sz="0" w:space="0" w:color="auto"/>
            <w:bottom w:val="none" w:sz="0" w:space="0" w:color="auto"/>
            <w:right w:val="none" w:sz="0" w:space="0" w:color="auto"/>
          </w:divBdr>
        </w:div>
        <w:div w:id="1883974948">
          <w:marLeft w:val="1800"/>
          <w:marRight w:val="0"/>
          <w:marTop w:val="106"/>
          <w:marBottom w:val="0"/>
          <w:divBdr>
            <w:top w:val="none" w:sz="0" w:space="0" w:color="auto"/>
            <w:left w:val="none" w:sz="0" w:space="0" w:color="auto"/>
            <w:bottom w:val="none" w:sz="0" w:space="0" w:color="auto"/>
            <w:right w:val="none" w:sz="0" w:space="0" w:color="auto"/>
          </w:divBdr>
        </w:div>
        <w:div w:id="206529461">
          <w:marLeft w:val="1800"/>
          <w:marRight w:val="0"/>
          <w:marTop w:val="106"/>
          <w:marBottom w:val="0"/>
          <w:divBdr>
            <w:top w:val="none" w:sz="0" w:space="0" w:color="auto"/>
            <w:left w:val="none" w:sz="0" w:space="0" w:color="auto"/>
            <w:bottom w:val="none" w:sz="0" w:space="0" w:color="auto"/>
            <w:right w:val="none" w:sz="0" w:space="0" w:color="auto"/>
          </w:divBdr>
        </w:div>
        <w:div w:id="200017815">
          <w:marLeft w:val="1166"/>
          <w:marRight w:val="0"/>
          <w:marTop w:val="125"/>
          <w:marBottom w:val="0"/>
          <w:divBdr>
            <w:top w:val="none" w:sz="0" w:space="0" w:color="auto"/>
            <w:left w:val="none" w:sz="0" w:space="0" w:color="auto"/>
            <w:bottom w:val="none" w:sz="0" w:space="0" w:color="auto"/>
            <w:right w:val="none" w:sz="0" w:space="0" w:color="auto"/>
          </w:divBdr>
        </w:div>
        <w:div w:id="517742487">
          <w:marLeft w:val="1800"/>
          <w:marRight w:val="0"/>
          <w:marTop w:val="106"/>
          <w:marBottom w:val="0"/>
          <w:divBdr>
            <w:top w:val="none" w:sz="0" w:space="0" w:color="auto"/>
            <w:left w:val="none" w:sz="0" w:space="0" w:color="auto"/>
            <w:bottom w:val="none" w:sz="0" w:space="0" w:color="auto"/>
            <w:right w:val="none" w:sz="0" w:space="0" w:color="auto"/>
          </w:divBdr>
        </w:div>
        <w:div w:id="1410663281">
          <w:marLeft w:val="1166"/>
          <w:marRight w:val="0"/>
          <w:marTop w:val="125"/>
          <w:marBottom w:val="0"/>
          <w:divBdr>
            <w:top w:val="none" w:sz="0" w:space="0" w:color="auto"/>
            <w:left w:val="none" w:sz="0" w:space="0" w:color="auto"/>
            <w:bottom w:val="none" w:sz="0" w:space="0" w:color="auto"/>
            <w:right w:val="none" w:sz="0" w:space="0" w:color="auto"/>
          </w:divBdr>
        </w:div>
      </w:divsChild>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79462646">
      <w:bodyDiv w:val="1"/>
      <w:marLeft w:val="0"/>
      <w:marRight w:val="0"/>
      <w:marTop w:val="0"/>
      <w:marBottom w:val="0"/>
      <w:divBdr>
        <w:top w:val="none" w:sz="0" w:space="0" w:color="auto"/>
        <w:left w:val="none" w:sz="0" w:space="0" w:color="auto"/>
        <w:bottom w:val="none" w:sz="0" w:space="0" w:color="auto"/>
        <w:right w:val="none" w:sz="0" w:space="0" w:color="auto"/>
      </w:divBdr>
      <w:divsChild>
        <w:div w:id="1149899451">
          <w:marLeft w:val="44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09687214">
      <w:bodyDiv w:val="1"/>
      <w:marLeft w:val="0"/>
      <w:marRight w:val="0"/>
      <w:marTop w:val="0"/>
      <w:marBottom w:val="0"/>
      <w:divBdr>
        <w:top w:val="none" w:sz="0" w:space="0" w:color="auto"/>
        <w:left w:val="none" w:sz="0" w:space="0" w:color="auto"/>
        <w:bottom w:val="none" w:sz="0" w:space="0" w:color="auto"/>
        <w:right w:val="none" w:sz="0" w:space="0" w:color="auto"/>
      </w:divBdr>
      <w:divsChild>
        <w:div w:id="424543739">
          <w:marLeft w:val="1166"/>
          <w:marRight w:val="0"/>
          <w:marTop w:val="86"/>
          <w:marBottom w:val="0"/>
          <w:divBdr>
            <w:top w:val="none" w:sz="0" w:space="0" w:color="auto"/>
            <w:left w:val="none" w:sz="0" w:space="0" w:color="auto"/>
            <w:bottom w:val="none" w:sz="0" w:space="0" w:color="auto"/>
            <w:right w:val="none" w:sz="0" w:space="0" w:color="auto"/>
          </w:divBdr>
        </w:div>
        <w:div w:id="1779375613">
          <w:marLeft w:val="1166"/>
          <w:marRight w:val="0"/>
          <w:marTop w:val="86"/>
          <w:marBottom w:val="0"/>
          <w:divBdr>
            <w:top w:val="none" w:sz="0" w:space="0" w:color="auto"/>
            <w:left w:val="none" w:sz="0" w:space="0" w:color="auto"/>
            <w:bottom w:val="none" w:sz="0" w:space="0" w:color="auto"/>
            <w:right w:val="none" w:sz="0" w:space="0" w:color="auto"/>
          </w:divBdr>
        </w:div>
        <w:div w:id="649987838">
          <w:marLeft w:val="1800"/>
          <w:marRight w:val="0"/>
          <w:marTop w:val="72"/>
          <w:marBottom w:val="0"/>
          <w:divBdr>
            <w:top w:val="none" w:sz="0" w:space="0" w:color="auto"/>
            <w:left w:val="none" w:sz="0" w:space="0" w:color="auto"/>
            <w:bottom w:val="none" w:sz="0" w:space="0" w:color="auto"/>
            <w:right w:val="none" w:sz="0" w:space="0" w:color="auto"/>
          </w:divBdr>
        </w:div>
        <w:div w:id="1532452916">
          <w:marLeft w:val="2520"/>
          <w:marRight w:val="0"/>
          <w:marTop w:val="62"/>
          <w:marBottom w:val="0"/>
          <w:divBdr>
            <w:top w:val="none" w:sz="0" w:space="0" w:color="auto"/>
            <w:left w:val="none" w:sz="0" w:space="0" w:color="auto"/>
            <w:bottom w:val="none" w:sz="0" w:space="0" w:color="auto"/>
            <w:right w:val="none" w:sz="0" w:space="0" w:color="auto"/>
          </w:divBdr>
        </w:div>
        <w:div w:id="850685583">
          <w:marLeft w:val="2520"/>
          <w:marRight w:val="0"/>
          <w:marTop w:val="62"/>
          <w:marBottom w:val="0"/>
          <w:divBdr>
            <w:top w:val="none" w:sz="0" w:space="0" w:color="auto"/>
            <w:left w:val="none" w:sz="0" w:space="0" w:color="auto"/>
            <w:bottom w:val="none" w:sz="0" w:space="0" w:color="auto"/>
            <w:right w:val="none" w:sz="0" w:space="0" w:color="auto"/>
          </w:divBdr>
        </w:div>
        <w:div w:id="1133712848">
          <w:marLeft w:val="2520"/>
          <w:marRight w:val="0"/>
          <w:marTop w:val="62"/>
          <w:marBottom w:val="0"/>
          <w:divBdr>
            <w:top w:val="none" w:sz="0" w:space="0" w:color="auto"/>
            <w:left w:val="none" w:sz="0" w:space="0" w:color="auto"/>
            <w:bottom w:val="none" w:sz="0" w:space="0" w:color="auto"/>
            <w:right w:val="none" w:sz="0" w:space="0" w:color="auto"/>
          </w:divBdr>
        </w:div>
        <w:div w:id="49620242">
          <w:marLeft w:val="1166"/>
          <w:marRight w:val="0"/>
          <w:marTop w:val="86"/>
          <w:marBottom w:val="0"/>
          <w:divBdr>
            <w:top w:val="none" w:sz="0" w:space="0" w:color="auto"/>
            <w:left w:val="none" w:sz="0" w:space="0" w:color="auto"/>
            <w:bottom w:val="none" w:sz="0" w:space="0" w:color="auto"/>
            <w:right w:val="none" w:sz="0" w:space="0" w:color="auto"/>
          </w:divBdr>
        </w:div>
        <w:div w:id="334841845">
          <w:marLeft w:val="547"/>
          <w:marRight w:val="0"/>
          <w:marTop w:val="96"/>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49612904">
      <w:bodyDiv w:val="1"/>
      <w:marLeft w:val="0"/>
      <w:marRight w:val="0"/>
      <w:marTop w:val="0"/>
      <w:marBottom w:val="0"/>
      <w:divBdr>
        <w:top w:val="none" w:sz="0" w:space="0" w:color="auto"/>
        <w:left w:val="none" w:sz="0" w:space="0" w:color="auto"/>
        <w:bottom w:val="none" w:sz="0" w:space="0" w:color="auto"/>
        <w:right w:val="none" w:sz="0" w:space="0" w:color="auto"/>
      </w:divBdr>
      <w:divsChild>
        <w:div w:id="580605386">
          <w:marLeft w:val="547"/>
          <w:marRight w:val="0"/>
          <w:marTop w:val="130"/>
          <w:marBottom w:val="0"/>
          <w:divBdr>
            <w:top w:val="none" w:sz="0" w:space="0" w:color="auto"/>
            <w:left w:val="none" w:sz="0" w:space="0" w:color="auto"/>
            <w:bottom w:val="none" w:sz="0" w:space="0" w:color="auto"/>
            <w:right w:val="none" w:sz="0" w:space="0" w:color="auto"/>
          </w:divBdr>
        </w:div>
        <w:div w:id="1666397072">
          <w:marLeft w:val="547"/>
          <w:marRight w:val="0"/>
          <w:marTop w:val="130"/>
          <w:marBottom w:val="0"/>
          <w:divBdr>
            <w:top w:val="none" w:sz="0" w:space="0" w:color="auto"/>
            <w:left w:val="none" w:sz="0" w:space="0" w:color="auto"/>
            <w:bottom w:val="none" w:sz="0" w:space="0" w:color="auto"/>
            <w:right w:val="none" w:sz="0" w:space="0" w:color="auto"/>
          </w:divBdr>
        </w:div>
        <w:div w:id="1511024947">
          <w:marLeft w:val="1166"/>
          <w:marRight w:val="0"/>
          <w:marTop w:val="115"/>
          <w:marBottom w:val="0"/>
          <w:divBdr>
            <w:top w:val="none" w:sz="0" w:space="0" w:color="auto"/>
            <w:left w:val="none" w:sz="0" w:space="0" w:color="auto"/>
            <w:bottom w:val="none" w:sz="0" w:space="0" w:color="auto"/>
            <w:right w:val="none" w:sz="0" w:space="0" w:color="auto"/>
          </w:divBdr>
        </w:div>
        <w:div w:id="656615542">
          <w:marLeft w:val="1166"/>
          <w:marRight w:val="0"/>
          <w:marTop w:val="115"/>
          <w:marBottom w:val="0"/>
          <w:divBdr>
            <w:top w:val="none" w:sz="0" w:space="0" w:color="auto"/>
            <w:left w:val="none" w:sz="0" w:space="0" w:color="auto"/>
            <w:bottom w:val="none" w:sz="0" w:space="0" w:color="auto"/>
            <w:right w:val="none" w:sz="0" w:space="0" w:color="auto"/>
          </w:divBdr>
        </w:div>
        <w:div w:id="1784230808">
          <w:marLeft w:val="1166"/>
          <w:marRight w:val="0"/>
          <w:marTop w:val="115"/>
          <w:marBottom w:val="0"/>
          <w:divBdr>
            <w:top w:val="none" w:sz="0" w:space="0" w:color="auto"/>
            <w:left w:val="none" w:sz="0" w:space="0" w:color="auto"/>
            <w:bottom w:val="none" w:sz="0" w:space="0" w:color="auto"/>
            <w:right w:val="none" w:sz="0" w:space="0" w:color="auto"/>
          </w:divBdr>
        </w:div>
        <w:div w:id="1276786412">
          <w:marLeft w:val="547"/>
          <w:marRight w:val="0"/>
          <w:marTop w:val="130"/>
          <w:marBottom w:val="0"/>
          <w:divBdr>
            <w:top w:val="none" w:sz="0" w:space="0" w:color="auto"/>
            <w:left w:val="none" w:sz="0" w:space="0" w:color="auto"/>
            <w:bottom w:val="none" w:sz="0" w:space="0" w:color="auto"/>
            <w:right w:val="none" w:sz="0" w:space="0" w:color="auto"/>
          </w:divBdr>
        </w:div>
        <w:div w:id="153300620">
          <w:marLeft w:val="1166"/>
          <w:marRight w:val="0"/>
          <w:marTop w:val="115"/>
          <w:marBottom w:val="0"/>
          <w:divBdr>
            <w:top w:val="none" w:sz="0" w:space="0" w:color="auto"/>
            <w:left w:val="none" w:sz="0" w:space="0" w:color="auto"/>
            <w:bottom w:val="none" w:sz="0" w:space="0" w:color="auto"/>
            <w:right w:val="none" w:sz="0" w:space="0" w:color="auto"/>
          </w:divBdr>
        </w:div>
        <w:div w:id="491600940">
          <w:marLeft w:val="1166"/>
          <w:marRight w:val="0"/>
          <w:marTop w:val="115"/>
          <w:marBottom w:val="0"/>
          <w:divBdr>
            <w:top w:val="none" w:sz="0" w:space="0" w:color="auto"/>
            <w:left w:val="none" w:sz="0" w:space="0" w:color="auto"/>
            <w:bottom w:val="none" w:sz="0" w:space="0" w:color="auto"/>
            <w:right w:val="none" w:sz="0" w:space="0" w:color="auto"/>
          </w:divBdr>
        </w:div>
        <w:div w:id="308753846">
          <w:marLeft w:val="1166"/>
          <w:marRight w:val="0"/>
          <w:marTop w:val="115"/>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781805190">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17058432">
      <w:bodyDiv w:val="1"/>
      <w:marLeft w:val="0"/>
      <w:marRight w:val="0"/>
      <w:marTop w:val="0"/>
      <w:marBottom w:val="0"/>
      <w:divBdr>
        <w:top w:val="none" w:sz="0" w:space="0" w:color="auto"/>
        <w:left w:val="none" w:sz="0" w:space="0" w:color="auto"/>
        <w:bottom w:val="none" w:sz="0" w:space="0" w:color="auto"/>
        <w:right w:val="none" w:sz="0" w:space="0" w:color="auto"/>
      </w:divBdr>
      <w:divsChild>
        <w:div w:id="958296761">
          <w:marLeft w:val="547"/>
          <w:marRight w:val="0"/>
          <w:marTop w:val="154"/>
          <w:marBottom w:val="0"/>
          <w:divBdr>
            <w:top w:val="none" w:sz="0" w:space="0" w:color="auto"/>
            <w:left w:val="none" w:sz="0" w:space="0" w:color="auto"/>
            <w:bottom w:val="none" w:sz="0" w:space="0" w:color="auto"/>
            <w:right w:val="none" w:sz="0" w:space="0" w:color="auto"/>
          </w:divBdr>
        </w:div>
        <w:div w:id="2052873667">
          <w:marLeft w:val="1166"/>
          <w:marRight w:val="0"/>
          <w:marTop w:val="134"/>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6696597">
      <w:bodyDiv w:val="1"/>
      <w:marLeft w:val="0"/>
      <w:marRight w:val="0"/>
      <w:marTop w:val="0"/>
      <w:marBottom w:val="0"/>
      <w:divBdr>
        <w:top w:val="none" w:sz="0" w:space="0" w:color="auto"/>
        <w:left w:val="none" w:sz="0" w:space="0" w:color="auto"/>
        <w:bottom w:val="none" w:sz="0" w:space="0" w:color="auto"/>
        <w:right w:val="none" w:sz="0" w:space="0" w:color="auto"/>
      </w:divBdr>
    </w:div>
    <w:div w:id="1295715295">
      <w:bodyDiv w:val="1"/>
      <w:marLeft w:val="0"/>
      <w:marRight w:val="0"/>
      <w:marTop w:val="0"/>
      <w:marBottom w:val="0"/>
      <w:divBdr>
        <w:top w:val="none" w:sz="0" w:space="0" w:color="auto"/>
        <w:left w:val="none" w:sz="0" w:space="0" w:color="auto"/>
        <w:bottom w:val="none" w:sz="0" w:space="0" w:color="auto"/>
        <w:right w:val="none" w:sz="0" w:space="0" w:color="auto"/>
      </w:divBdr>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541686">
      <w:bodyDiv w:val="1"/>
      <w:marLeft w:val="0"/>
      <w:marRight w:val="0"/>
      <w:marTop w:val="0"/>
      <w:marBottom w:val="0"/>
      <w:divBdr>
        <w:top w:val="none" w:sz="0" w:space="0" w:color="auto"/>
        <w:left w:val="none" w:sz="0" w:space="0" w:color="auto"/>
        <w:bottom w:val="none" w:sz="0" w:space="0" w:color="auto"/>
        <w:right w:val="none" w:sz="0" w:space="0" w:color="auto"/>
      </w:divBdr>
      <w:divsChild>
        <w:div w:id="610671797">
          <w:marLeft w:val="547"/>
          <w:marRight w:val="0"/>
          <w:marTop w:val="154"/>
          <w:marBottom w:val="0"/>
          <w:divBdr>
            <w:top w:val="none" w:sz="0" w:space="0" w:color="auto"/>
            <w:left w:val="none" w:sz="0" w:space="0" w:color="auto"/>
            <w:bottom w:val="none" w:sz="0" w:space="0" w:color="auto"/>
            <w:right w:val="none" w:sz="0" w:space="0" w:color="auto"/>
          </w:divBdr>
        </w:div>
        <w:div w:id="949748296">
          <w:marLeft w:val="1166"/>
          <w:marRight w:val="0"/>
          <w:marTop w:val="134"/>
          <w:marBottom w:val="0"/>
          <w:divBdr>
            <w:top w:val="none" w:sz="0" w:space="0" w:color="auto"/>
            <w:left w:val="none" w:sz="0" w:space="0" w:color="auto"/>
            <w:bottom w:val="none" w:sz="0" w:space="0" w:color="auto"/>
            <w:right w:val="none" w:sz="0" w:space="0" w:color="auto"/>
          </w:divBdr>
        </w:div>
        <w:div w:id="1741318978">
          <w:marLeft w:val="1166"/>
          <w:marRight w:val="0"/>
          <w:marTop w:val="134"/>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7834146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786725899">
      <w:bodyDiv w:val="1"/>
      <w:marLeft w:val="0"/>
      <w:marRight w:val="0"/>
      <w:marTop w:val="0"/>
      <w:marBottom w:val="0"/>
      <w:divBdr>
        <w:top w:val="none" w:sz="0" w:space="0" w:color="auto"/>
        <w:left w:val="none" w:sz="0" w:space="0" w:color="auto"/>
        <w:bottom w:val="none" w:sz="0" w:space="0" w:color="auto"/>
        <w:right w:val="none" w:sz="0" w:space="0" w:color="auto"/>
      </w:divBdr>
      <w:divsChild>
        <w:div w:id="73162296">
          <w:marLeft w:val="547"/>
          <w:marRight w:val="0"/>
          <w:marTop w:val="154"/>
          <w:marBottom w:val="0"/>
          <w:divBdr>
            <w:top w:val="none" w:sz="0" w:space="0" w:color="auto"/>
            <w:left w:val="none" w:sz="0" w:space="0" w:color="auto"/>
            <w:bottom w:val="none" w:sz="0" w:space="0" w:color="auto"/>
            <w:right w:val="none" w:sz="0" w:space="0" w:color="auto"/>
          </w:divBdr>
        </w:div>
        <w:div w:id="1703435951">
          <w:marLeft w:val="547"/>
          <w:marRight w:val="0"/>
          <w:marTop w:val="154"/>
          <w:marBottom w:val="0"/>
          <w:divBdr>
            <w:top w:val="none" w:sz="0" w:space="0" w:color="auto"/>
            <w:left w:val="none" w:sz="0" w:space="0" w:color="auto"/>
            <w:bottom w:val="none" w:sz="0" w:space="0" w:color="auto"/>
            <w:right w:val="none" w:sz="0" w:space="0" w:color="auto"/>
          </w:divBdr>
        </w:div>
        <w:div w:id="983971274">
          <w:marLeft w:val="1166"/>
          <w:marRight w:val="0"/>
          <w:marTop w:val="134"/>
          <w:marBottom w:val="0"/>
          <w:divBdr>
            <w:top w:val="none" w:sz="0" w:space="0" w:color="auto"/>
            <w:left w:val="none" w:sz="0" w:space="0" w:color="auto"/>
            <w:bottom w:val="none" w:sz="0" w:space="0" w:color="auto"/>
            <w:right w:val="none" w:sz="0" w:space="0" w:color="auto"/>
          </w:divBdr>
        </w:div>
        <w:div w:id="1159347389">
          <w:marLeft w:val="1166"/>
          <w:marRight w:val="0"/>
          <w:marTop w:val="134"/>
          <w:marBottom w:val="0"/>
          <w:divBdr>
            <w:top w:val="none" w:sz="0" w:space="0" w:color="auto"/>
            <w:left w:val="none" w:sz="0" w:space="0" w:color="auto"/>
            <w:bottom w:val="none" w:sz="0" w:space="0" w:color="auto"/>
            <w:right w:val="none" w:sz="0" w:space="0" w:color="auto"/>
          </w:divBdr>
        </w:div>
        <w:div w:id="99304532">
          <w:marLeft w:val="1166"/>
          <w:marRight w:val="0"/>
          <w:marTop w:val="134"/>
          <w:marBottom w:val="0"/>
          <w:divBdr>
            <w:top w:val="none" w:sz="0" w:space="0" w:color="auto"/>
            <w:left w:val="none" w:sz="0" w:space="0" w:color="auto"/>
            <w:bottom w:val="none" w:sz="0" w:space="0" w:color="auto"/>
            <w:right w:val="none" w:sz="0" w:space="0" w:color="auto"/>
          </w:divBdr>
        </w:div>
      </w:divsChild>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0428024">
      <w:bodyDiv w:val="1"/>
      <w:marLeft w:val="0"/>
      <w:marRight w:val="0"/>
      <w:marTop w:val="0"/>
      <w:marBottom w:val="0"/>
      <w:divBdr>
        <w:top w:val="none" w:sz="0" w:space="0" w:color="auto"/>
        <w:left w:val="none" w:sz="0" w:space="0" w:color="auto"/>
        <w:bottom w:val="none" w:sz="0" w:space="0" w:color="auto"/>
        <w:right w:val="none" w:sz="0" w:space="0" w:color="auto"/>
      </w:divBdr>
      <w:divsChild>
        <w:div w:id="1439645857">
          <w:marLeft w:val="547"/>
          <w:marRight w:val="0"/>
          <w:marTop w:val="154"/>
          <w:marBottom w:val="0"/>
          <w:divBdr>
            <w:top w:val="none" w:sz="0" w:space="0" w:color="auto"/>
            <w:left w:val="none" w:sz="0" w:space="0" w:color="auto"/>
            <w:bottom w:val="none" w:sz="0" w:space="0" w:color="auto"/>
            <w:right w:val="none" w:sz="0" w:space="0" w:color="auto"/>
          </w:divBdr>
        </w:div>
        <w:div w:id="135076506">
          <w:marLeft w:val="1166"/>
          <w:marRight w:val="0"/>
          <w:marTop w:val="134"/>
          <w:marBottom w:val="0"/>
          <w:divBdr>
            <w:top w:val="none" w:sz="0" w:space="0" w:color="auto"/>
            <w:left w:val="none" w:sz="0" w:space="0" w:color="auto"/>
            <w:bottom w:val="none" w:sz="0" w:space="0" w:color="auto"/>
            <w:right w:val="none" w:sz="0" w:space="0" w:color="auto"/>
          </w:divBdr>
        </w:div>
        <w:div w:id="231159098">
          <w:marLeft w:val="1166"/>
          <w:marRight w:val="0"/>
          <w:marTop w:val="134"/>
          <w:marBottom w:val="0"/>
          <w:divBdr>
            <w:top w:val="none" w:sz="0" w:space="0" w:color="auto"/>
            <w:left w:val="none" w:sz="0" w:space="0" w:color="auto"/>
            <w:bottom w:val="none" w:sz="0" w:space="0" w:color="auto"/>
            <w:right w:val="none" w:sz="0" w:space="0" w:color="auto"/>
          </w:divBdr>
        </w:div>
        <w:div w:id="1023701928">
          <w:marLeft w:val="1166"/>
          <w:marRight w:val="0"/>
          <w:marTop w:val="134"/>
          <w:marBottom w:val="0"/>
          <w:divBdr>
            <w:top w:val="none" w:sz="0" w:space="0" w:color="auto"/>
            <w:left w:val="none" w:sz="0" w:space="0" w:color="auto"/>
            <w:bottom w:val="none" w:sz="0" w:space="0" w:color="auto"/>
            <w:right w:val="none" w:sz="0" w:space="0" w:color="auto"/>
          </w:divBdr>
        </w:div>
        <w:div w:id="40129688">
          <w:marLeft w:val="1166"/>
          <w:marRight w:val="0"/>
          <w:marTop w:val="134"/>
          <w:marBottom w:val="0"/>
          <w:divBdr>
            <w:top w:val="none" w:sz="0" w:space="0" w:color="auto"/>
            <w:left w:val="none" w:sz="0" w:space="0" w:color="auto"/>
            <w:bottom w:val="none" w:sz="0" w:space="0" w:color="auto"/>
            <w:right w:val="none" w:sz="0" w:space="0" w:color="auto"/>
          </w:divBdr>
        </w:div>
      </w:divsChild>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44D68-20F8-4B8B-B210-57411114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2923</TotalTime>
  <Pages>3</Pages>
  <Words>1440</Words>
  <Characters>8210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346</cp:revision>
  <dcterms:created xsi:type="dcterms:W3CDTF">2021-03-31T03:03:00Z</dcterms:created>
  <dcterms:modified xsi:type="dcterms:W3CDTF">2022-08-09T13:55:00Z</dcterms:modified>
</cp:coreProperties>
</file>